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B1" w:rsidRDefault="00D53AB1" w:rsidP="00D53AB1">
      <w:pPr>
        <w:jc w:val="center"/>
        <w:rPr>
          <w:b/>
        </w:rPr>
      </w:pPr>
      <w:r>
        <w:rPr>
          <w:b/>
        </w:rPr>
        <w:t>Контрольная работа</w:t>
      </w:r>
    </w:p>
    <w:p w:rsidR="002F1132" w:rsidRDefault="002F1132" w:rsidP="00D53AB1">
      <w:pPr>
        <w:jc w:val="center"/>
        <w:rPr>
          <w:b/>
        </w:rPr>
      </w:pPr>
      <w:r w:rsidRPr="002F1132">
        <w:rPr>
          <w:b/>
        </w:rPr>
        <w:t>по дисциплине «Энергосбережение. Энергобследование промпредприятий</w:t>
      </w:r>
      <w:r w:rsidR="00E66658" w:rsidRPr="000A59A2">
        <w:rPr>
          <w:b/>
        </w:rPr>
        <w:t xml:space="preserve"> </w:t>
      </w:r>
      <w:r w:rsidRPr="002F1132">
        <w:rPr>
          <w:b/>
        </w:rPr>
        <w:t>и объектов ЖКХ»</w:t>
      </w:r>
      <w:r>
        <w:rPr>
          <w:b/>
        </w:rPr>
        <w:t>.</w:t>
      </w:r>
    </w:p>
    <w:p w:rsidR="002F1132" w:rsidRDefault="002F1132" w:rsidP="002F1132">
      <w:pPr>
        <w:jc w:val="center"/>
        <w:rPr>
          <w:b/>
        </w:rPr>
      </w:pPr>
    </w:p>
    <w:p w:rsidR="002F1132" w:rsidRDefault="002F1132" w:rsidP="002F1132">
      <w:pPr>
        <w:jc w:val="both"/>
      </w:pPr>
      <w:r>
        <w:rPr>
          <w:b/>
        </w:rPr>
        <w:t xml:space="preserve">Название: </w:t>
      </w:r>
      <w:r>
        <w:t>«Способы повышения эффективности энергосбережения на</w:t>
      </w:r>
    </w:p>
    <w:p w:rsidR="002F1132" w:rsidRDefault="002F1132" w:rsidP="002F1132">
      <w:pPr>
        <w:jc w:val="both"/>
      </w:pPr>
      <w:r>
        <w:t>этапе производства тепловой и электрической энергии».</w:t>
      </w:r>
    </w:p>
    <w:p w:rsidR="002F1132" w:rsidRDefault="002F1132" w:rsidP="002F1132">
      <w:pPr>
        <w:jc w:val="both"/>
      </w:pPr>
    </w:p>
    <w:p w:rsidR="002F1132" w:rsidRPr="002F1132" w:rsidRDefault="002F1132" w:rsidP="002F1132">
      <w:pPr>
        <w:jc w:val="both"/>
        <w:rPr>
          <w:b/>
        </w:rPr>
      </w:pPr>
      <w:r w:rsidRPr="002F1132">
        <w:rPr>
          <w:b/>
        </w:rPr>
        <w:t xml:space="preserve">Структура </w:t>
      </w:r>
      <w:r w:rsidR="00FA69AD">
        <w:rPr>
          <w:b/>
        </w:rPr>
        <w:t xml:space="preserve">контрольной </w:t>
      </w:r>
      <w:r w:rsidRPr="002F1132">
        <w:rPr>
          <w:b/>
        </w:rPr>
        <w:t>работы:</w:t>
      </w:r>
    </w:p>
    <w:p w:rsidR="002F1132" w:rsidRDefault="002F1132" w:rsidP="002F1132">
      <w:pPr>
        <w:pStyle w:val="a4"/>
        <w:numPr>
          <w:ilvl w:val="0"/>
          <w:numId w:val="1"/>
        </w:numPr>
        <w:jc w:val="both"/>
      </w:pPr>
      <w:r>
        <w:t xml:space="preserve">Предисловие (Важность решения </w:t>
      </w:r>
      <w:r w:rsidR="005A0143">
        <w:t>общегосударственной задачи по практической реализации  политики энергосберегающих технологий во всех сферах экономики РФ</w:t>
      </w:r>
      <w:r>
        <w:t>)</w:t>
      </w:r>
      <w:r w:rsidR="005A0143">
        <w:t>.</w:t>
      </w:r>
    </w:p>
    <w:p w:rsidR="005A0143" w:rsidRDefault="005A0143" w:rsidP="002F1132">
      <w:pPr>
        <w:pStyle w:val="a4"/>
        <w:numPr>
          <w:ilvl w:val="0"/>
          <w:numId w:val="1"/>
        </w:numPr>
        <w:jc w:val="both"/>
      </w:pPr>
      <w:r>
        <w:t>Принципиальная схема и краткое описание двух способов обеспечения</w:t>
      </w:r>
    </w:p>
    <w:p w:rsidR="005A0143" w:rsidRDefault="005A0143" w:rsidP="005A0143">
      <w:pPr>
        <w:pStyle w:val="a4"/>
        <w:jc w:val="both"/>
      </w:pPr>
      <w:r>
        <w:t>промпредприятий тепловой и электрической энергией (раздельный:КЭС и индивидуаль</w:t>
      </w:r>
      <w:r w:rsidR="00CF45A0">
        <w:t>ные паровые котельные  и комбинированный - ТЭЦ</w:t>
      </w:r>
      <w:r>
        <w:t>).</w:t>
      </w:r>
    </w:p>
    <w:p w:rsidR="005A0143" w:rsidRDefault="005A0143" w:rsidP="005A0143">
      <w:pPr>
        <w:pStyle w:val="a4"/>
        <w:numPr>
          <w:ilvl w:val="0"/>
          <w:numId w:val="1"/>
        </w:numPr>
        <w:jc w:val="both"/>
      </w:pPr>
      <w:r>
        <w:t>Основная часть:</w:t>
      </w:r>
    </w:p>
    <w:p w:rsidR="001F0914" w:rsidRDefault="001F0914" w:rsidP="001F0914">
      <w:pPr>
        <w:pStyle w:val="a4"/>
        <w:ind w:left="426"/>
        <w:jc w:val="both"/>
      </w:pPr>
      <w:r>
        <w:t>3.1.Сравнение схем работ</w:t>
      </w:r>
      <w:r w:rsidR="00CF45A0">
        <w:t xml:space="preserve">ы паросиловых установок </w:t>
      </w:r>
      <w:r w:rsidR="00CF45A0" w:rsidRPr="001C0172">
        <w:rPr>
          <w:b/>
        </w:rPr>
        <w:t>КЭС и ТЭ</w:t>
      </w:r>
      <w:r w:rsidRPr="001C0172">
        <w:rPr>
          <w:b/>
        </w:rPr>
        <w:t>Ц</w:t>
      </w:r>
      <w:r>
        <w:t>. Определение термического и эффективного (общеэкономического) КПД для обоих видов установок.</w:t>
      </w:r>
    </w:p>
    <w:p w:rsidR="001F0914" w:rsidRPr="001C0172" w:rsidRDefault="001F0914" w:rsidP="001F0914">
      <w:pPr>
        <w:pStyle w:val="a4"/>
        <w:ind w:left="426"/>
        <w:jc w:val="both"/>
        <w:rPr>
          <w:b/>
        </w:rPr>
      </w:pPr>
      <w:r>
        <w:t xml:space="preserve">3.2.Анализ эффективности работы ПСУ </w:t>
      </w:r>
      <w:r w:rsidRPr="001C0172">
        <w:rPr>
          <w:b/>
        </w:rPr>
        <w:t>по теплофикационному циклу (ТЭЦ):</w:t>
      </w:r>
    </w:p>
    <w:p w:rsidR="001F0914" w:rsidRDefault="00DE619B" w:rsidP="001F0914">
      <w:pPr>
        <w:pStyle w:val="a4"/>
        <w:ind w:left="426"/>
        <w:jc w:val="both"/>
      </w:pPr>
      <w:r>
        <w:t xml:space="preserve">     3.2.1-</w:t>
      </w:r>
      <w:r w:rsidR="001F0914">
        <w:t xml:space="preserve"> влияние параметров состояния пара (давления и температуры), подаваемого на вход паровой турбины и получаемого после процесса  расширения </w:t>
      </w:r>
      <w:r w:rsidR="00AE77D6">
        <w:t xml:space="preserve"> в ней отработанного п</w:t>
      </w:r>
      <w:r w:rsidR="00A427B6">
        <w:t>ара на КПД цикла ее работы;</w:t>
      </w:r>
    </w:p>
    <w:p w:rsidR="00AE77D6" w:rsidRDefault="00DE619B" w:rsidP="001F0914">
      <w:pPr>
        <w:pStyle w:val="a4"/>
        <w:ind w:left="426"/>
        <w:jc w:val="both"/>
      </w:pPr>
      <w:r>
        <w:t>3.2.2.-</w:t>
      </w:r>
      <w:r w:rsidR="001F0914">
        <w:t>влияние вторичного перегрева пара</w:t>
      </w:r>
      <w:r w:rsidR="00AE77D6">
        <w:t>, на повышение эффективности использования тепловой энергии сжигаемого</w:t>
      </w:r>
      <w:r w:rsidR="00A427B6">
        <w:t xml:space="preserve"> в котельных установках топлива;</w:t>
      </w:r>
    </w:p>
    <w:p w:rsidR="00AE77D6" w:rsidRDefault="00DE619B" w:rsidP="001F0914">
      <w:pPr>
        <w:pStyle w:val="a4"/>
        <w:ind w:left="426"/>
        <w:jc w:val="both"/>
      </w:pPr>
      <w:r>
        <w:t>3.2.3.-</w:t>
      </w:r>
      <w:r w:rsidR="00027302">
        <w:t xml:space="preserve">влияние на эффективность использования теплоты сжигаемого топлива </w:t>
      </w:r>
      <w:r w:rsidR="00AE77D6">
        <w:t>регенеративного подогрева питательной воды для котельных</w:t>
      </w:r>
      <w:r w:rsidR="00027302">
        <w:t xml:space="preserve"> агрегатов за счет утилизации</w:t>
      </w:r>
      <w:r w:rsidR="00AE77D6">
        <w:t xml:space="preserve"> пара отбираемого из промежуточных отборов паровой турбины.</w:t>
      </w:r>
      <w:r w:rsidR="00154FE6">
        <w:t>(Для расчетного анализа по этому пункту за основу принять схему выработки электрической энергии по схеме КЭС из пункта 3.1).</w:t>
      </w:r>
    </w:p>
    <w:p w:rsidR="001F0914" w:rsidRDefault="00AE77D6" w:rsidP="001F0914">
      <w:pPr>
        <w:pStyle w:val="a4"/>
        <w:ind w:left="426"/>
        <w:jc w:val="both"/>
      </w:pPr>
      <w:r>
        <w:t xml:space="preserve">4.Обобщающие выводы по результатам работы с </w:t>
      </w:r>
      <w:r w:rsidR="00A427B6">
        <w:t xml:space="preserve">их </w:t>
      </w:r>
      <w:r>
        <w:t>численн</w:t>
      </w:r>
      <w:r w:rsidR="00A427B6">
        <w:t xml:space="preserve">о </w:t>
      </w:r>
      <w:r w:rsidR="00DE619B">
        <w:t>-</w:t>
      </w:r>
      <w:r w:rsidR="00A427B6">
        <w:t>расчетным</w:t>
      </w:r>
      <w:r w:rsidR="00A427B6" w:rsidRPr="00A427B6">
        <w:t>подтверждением</w:t>
      </w:r>
      <w:r w:rsidR="00A427B6">
        <w:t>.</w:t>
      </w:r>
    </w:p>
    <w:p w:rsidR="00A427B6" w:rsidRDefault="00A427B6" w:rsidP="001F0914">
      <w:pPr>
        <w:pStyle w:val="a4"/>
        <w:ind w:left="426"/>
        <w:jc w:val="both"/>
      </w:pPr>
      <w:r>
        <w:t>5.Графическая часть работы:</w:t>
      </w:r>
    </w:p>
    <w:p w:rsidR="00A427B6" w:rsidRDefault="00A427B6" w:rsidP="001F0914">
      <w:pPr>
        <w:pStyle w:val="a4"/>
        <w:ind w:left="426"/>
        <w:jc w:val="both"/>
      </w:pPr>
      <w:r>
        <w:t xml:space="preserve">    - </w:t>
      </w:r>
      <w:r w:rsidR="00AF273F">
        <w:t xml:space="preserve">принципиальная </w:t>
      </w:r>
      <w:r>
        <w:t>тепловая схема ТЭЦ;</w:t>
      </w:r>
    </w:p>
    <w:p w:rsidR="00A427B6" w:rsidRDefault="00A427B6" w:rsidP="001F0914">
      <w:pPr>
        <w:pStyle w:val="a4"/>
        <w:ind w:left="426"/>
        <w:jc w:val="both"/>
        <w:rPr>
          <w:rFonts w:eastAsiaTheme="minorEastAsia"/>
          <w:szCs w:val="28"/>
        </w:rPr>
      </w:pPr>
      <w:r>
        <w:t xml:space="preserve">    - диаграмма цикла ТЭЦ в </w:t>
      </w:r>
      <w:r w:rsidR="005B38D6">
        <w:t>(</w:t>
      </w:r>
      <w:r w:rsidR="005B38D6" w:rsidRPr="005B38D6">
        <w:rPr>
          <w:rFonts w:eastAsiaTheme="minorEastAsia"/>
          <w:szCs w:val="28"/>
          <w:u w:val="single"/>
          <w:lang w:val="en-US"/>
        </w:rPr>
        <w:t>h</w:t>
      </w:r>
      <w:r w:rsidR="005B38D6" w:rsidRPr="005B38D6">
        <w:rPr>
          <w:rFonts w:eastAsiaTheme="minorEastAsia"/>
          <w:szCs w:val="28"/>
          <w:u w:val="single"/>
        </w:rPr>
        <w:t>-</w:t>
      </w:r>
      <w:r w:rsidR="005B38D6" w:rsidRPr="005B38D6">
        <w:rPr>
          <w:rFonts w:eastAsiaTheme="minorEastAsia"/>
          <w:szCs w:val="28"/>
          <w:u w:val="single"/>
          <w:lang w:val="en-US"/>
        </w:rPr>
        <w:t>S</w:t>
      </w:r>
      <w:r w:rsidR="005B38D6">
        <w:rPr>
          <w:rFonts w:eastAsiaTheme="minorEastAsia"/>
          <w:szCs w:val="28"/>
          <w:u w:val="single"/>
        </w:rPr>
        <w:t>) - координатах</w:t>
      </w:r>
      <w:r w:rsidR="005B38D6" w:rsidRPr="005B38D6">
        <w:rPr>
          <w:rFonts w:eastAsiaTheme="minorEastAsia"/>
          <w:szCs w:val="28"/>
          <w:u w:val="single"/>
        </w:rPr>
        <w:t>(</w:t>
      </w:r>
      <w:r w:rsidR="005B38D6">
        <w:rPr>
          <w:rFonts w:eastAsiaTheme="minorEastAsia"/>
          <w:szCs w:val="28"/>
        </w:rPr>
        <w:t>с графическим</w:t>
      </w:r>
      <w:r w:rsidR="00AF273F">
        <w:rPr>
          <w:rFonts w:eastAsiaTheme="minorEastAsia"/>
          <w:szCs w:val="28"/>
        </w:rPr>
        <w:t xml:space="preserve"> масштабным отображением по</w:t>
      </w:r>
      <w:r w:rsidR="005B38D6">
        <w:rPr>
          <w:rFonts w:eastAsiaTheme="minorEastAsia"/>
          <w:szCs w:val="28"/>
        </w:rPr>
        <w:t xml:space="preserve"> проведенным аналитическим расчетам</w:t>
      </w:r>
      <w:r w:rsidR="00AF273F">
        <w:rPr>
          <w:rFonts w:eastAsiaTheme="minorEastAsia"/>
          <w:szCs w:val="28"/>
        </w:rPr>
        <w:t xml:space="preserve"> по пунктам 3.2.1. и 3.2.2.</w:t>
      </w:r>
      <w:r w:rsidR="005B38D6">
        <w:rPr>
          <w:rFonts w:eastAsiaTheme="minorEastAsia"/>
          <w:szCs w:val="28"/>
        </w:rPr>
        <w:t>).</w:t>
      </w:r>
    </w:p>
    <w:p w:rsidR="005B38D6" w:rsidRDefault="005B38D6" w:rsidP="001F0914">
      <w:pPr>
        <w:pStyle w:val="a4"/>
        <w:ind w:left="426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6.Используемая литература.</w:t>
      </w:r>
    </w:p>
    <w:p w:rsidR="00C32182" w:rsidRDefault="00C32182" w:rsidP="001F0914">
      <w:pPr>
        <w:pStyle w:val="a4"/>
        <w:ind w:left="426"/>
        <w:jc w:val="both"/>
        <w:rPr>
          <w:rFonts w:eastAsiaTheme="minorEastAsia"/>
          <w:szCs w:val="28"/>
        </w:rPr>
      </w:pPr>
    </w:p>
    <w:p w:rsidR="00C32182" w:rsidRDefault="00C32182" w:rsidP="001F0914">
      <w:pPr>
        <w:pStyle w:val="a4"/>
        <w:ind w:left="426"/>
        <w:jc w:val="both"/>
        <w:rPr>
          <w:rFonts w:eastAsiaTheme="minorEastAsia"/>
          <w:szCs w:val="28"/>
        </w:rPr>
      </w:pPr>
    </w:p>
    <w:p w:rsidR="00C32182" w:rsidRDefault="00C32182" w:rsidP="001F0914">
      <w:pPr>
        <w:pStyle w:val="a4"/>
        <w:ind w:left="426"/>
        <w:jc w:val="both"/>
        <w:rPr>
          <w:rFonts w:eastAsiaTheme="minorEastAsia"/>
          <w:szCs w:val="28"/>
        </w:rPr>
      </w:pPr>
    </w:p>
    <w:p w:rsidR="00163431" w:rsidRPr="00163431" w:rsidRDefault="00163431" w:rsidP="00163431">
      <w:pPr>
        <w:jc w:val="center"/>
      </w:pPr>
      <w:r>
        <w:lastRenderedPageBreak/>
        <w:t>В соответствии со структуро</w:t>
      </w:r>
      <w:r w:rsidR="00DE619B">
        <w:t xml:space="preserve">й выполнения </w:t>
      </w:r>
      <w:r w:rsidR="00C90C74">
        <w:t>кон</w:t>
      </w:r>
      <w:r w:rsidR="00FA69AD">
        <w:t>т</w:t>
      </w:r>
      <w:r w:rsidR="00C90C74">
        <w:t xml:space="preserve">рольной работы </w:t>
      </w:r>
      <w:r w:rsidR="00DE619B">
        <w:t>по</w:t>
      </w:r>
      <w:r w:rsidRPr="00163431">
        <w:t xml:space="preserve"> дисциплине «Энергосбережение. Энерго</w:t>
      </w:r>
      <w:r w:rsidR="00FA69AD">
        <w:t>о</w:t>
      </w:r>
      <w:r w:rsidRPr="00163431">
        <w:t>бследование промпредприятий</w:t>
      </w:r>
    </w:p>
    <w:p w:rsidR="00163431" w:rsidRDefault="00163431" w:rsidP="00163431">
      <w:pPr>
        <w:jc w:val="center"/>
      </w:pPr>
      <w:r w:rsidRPr="00163431">
        <w:t>и объектов ЖКХ»</w:t>
      </w:r>
      <w:r w:rsidRPr="00AF273F">
        <w:rPr>
          <w:b/>
        </w:rPr>
        <w:t>необх</w:t>
      </w:r>
      <w:r w:rsidR="00DE619B" w:rsidRPr="00AF273F">
        <w:rPr>
          <w:b/>
        </w:rPr>
        <w:t>одимы следующие исходные данные</w:t>
      </w:r>
      <w:r w:rsidR="00DE619B">
        <w:t xml:space="preserve"> для проведения аналитических</w:t>
      </w:r>
      <w:r w:rsidR="00FA69AD">
        <w:t xml:space="preserve"> расчетов (Для основной части </w:t>
      </w:r>
      <w:r w:rsidR="00DE619B">
        <w:t xml:space="preserve"> – пункт 3).</w:t>
      </w:r>
    </w:p>
    <w:p w:rsidR="00293542" w:rsidRDefault="00DE619B" w:rsidP="00293542">
      <w:pPr>
        <w:jc w:val="both"/>
        <w:rPr>
          <w:szCs w:val="28"/>
        </w:rPr>
      </w:pPr>
      <w:r w:rsidRPr="00293542">
        <w:rPr>
          <w:b/>
        </w:rPr>
        <w:t>А). Для пункта 3.1.</w:t>
      </w:r>
      <w:r w:rsidR="00293542">
        <w:rPr>
          <w:szCs w:val="28"/>
        </w:rPr>
        <w:t>Варианты задания.</w:t>
      </w:r>
    </w:p>
    <w:p w:rsidR="001C0172" w:rsidRDefault="000E0695" w:rsidP="001C017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Таблица 1.</w:t>
      </w:r>
    </w:p>
    <w:tbl>
      <w:tblPr>
        <w:tblStyle w:val="a6"/>
        <w:tblW w:w="0" w:type="auto"/>
        <w:tblLook w:val="04A0"/>
      </w:tblPr>
      <w:tblGrid>
        <w:gridCol w:w="1951"/>
        <w:gridCol w:w="1131"/>
        <w:gridCol w:w="1098"/>
        <w:gridCol w:w="1082"/>
        <w:gridCol w:w="1063"/>
        <w:gridCol w:w="19"/>
        <w:gridCol w:w="1049"/>
        <w:gridCol w:w="6"/>
        <w:gridCol w:w="1073"/>
        <w:gridCol w:w="1099"/>
      </w:tblGrid>
      <w:tr w:rsidR="001C0172" w:rsidTr="001C017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Схема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КЭС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ТЭЦ</w:t>
            </w:r>
          </w:p>
        </w:tc>
      </w:tr>
      <w:tr w:rsidR="001C0172" w:rsidTr="001C017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вар.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1C0172" w:rsidRDefault="001C0172" w:rsidP="001C017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</w:t>
            </w:r>
            <w:r>
              <w:rPr>
                <w:szCs w:val="28"/>
                <w:vertAlign w:val="subscript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 xml:space="preserve"> бар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1C0172" w:rsidRDefault="001C0172" w:rsidP="001C0172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</w:t>
            </w:r>
            <w:r>
              <w:rPr>
                <w:szCs w:val="28"/>
                <w:vertAlign w:val="subscript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 xml:space="preserve"> бар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t</w:t>
            </w:r>
            <w:r>
              <w:rPr>
                <w:szCs w:val="28"/>
                <w:vertAlign w:val="subscript"/>
                <w:lang w:eastAsia="en-US"/>
              </w:rPr>
              <w:t>1</w:t>
            </w:r>
            <w:r>
              <w:rPr>
                <w:szCs w:val="28"/>
                <w:vertAlign w:val="superscript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С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t</w:t>
            </w:r>
            <w:r>
              <w:rPr>
                <w:szCs w:val="28"/>
                <w:vertAlign w:val="subscript"/>
                <w:lang w:eastAsia="en-US"/>
              </w:rPr>
              <w:t>пп</w:t>
            </w:r>
            <w:r>
              <w:rPr>
                <w:szCs w:val="28"/>
                <w:vertAlign w:val="superscript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С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0E0695" w:rsidRDefault="001C0172" w:rsidP="000E0695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</w:t>
            </w:r>
            <w:r>
              <w:rPr>
                <w:szCs w:val="28"/>
                <w:vertAlign w:val="subscript"/>
                <w:lang w:eastAsia="en-US"/>
              </w:rPr>
              <w:t>1</w:t>
            </w:r>
            <w:r w:rsidR="000E0695">
              <w:rPr>
                <w:szCs w:val="28"/>
                <w:lang w:eastAsia="en-US"/>
              </w:rPr>
              <w:t xml:space="preserve"> бар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0E0695" w:rsidRDefault="001C0172" w:rsidP="000E0695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</w:t>
            </w:r>
            <w:r>
              <w:rPr>
                <w:szCs w:val="28"/>
                <w:vertAlign w:val="subscript"/>
                <w:lang w:eastAsia="en-US"/>
              </w:rPr>
              <w:t>2</w:t>
            </w:r>
            <w:r w:rsidR="000E0695">
              <w:rPr>
                <w:szCs w:val="28"/>
                <w:lang w:eastAsia="en-US"/>
              </w:rPr>
              <w:t xml:space="preserve"> бар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t</w:t>
            </w:r>
            <w:r>
              <w:rPr>
                <w:szCs w:val="28"/>
                <w:vertAlign w:val="subscript"/>
                <w:lang w:eastAsia="en-US"/>
              </w:rPr>
              <w:t>1</w:t>
            </w:r>
            <w:r>
              <w:rPr>
                <w:szCs w:val="28"/>
                <w:vertAlign w:val="superscript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С</w:t>
            </w:r>
          </w:p>
        </w:tc>
      </w:tr>
      <w:tr w:rsidR="001C0172" w:rsidTr="001C017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420</w:t>
            </w:r>
          </w:p>
        </w:tc>
      </w:tr>
      <w:tr w:rsidR="001C0172" w:rsidTr="001C017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C90C74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C90C74">
              <w:rPr>
                <w:szCs w:val="28"/>
                <w:highlight w:val="yellow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C90C74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C90C74">
              <w:rPr>
                <w:szCs w:val="28"/>
                <w:highlight w:val="yellow"/>
                <w:lang w:eastAsia="en-US"/>
              </w:rPr>
              <w:t>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C90C74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C90C74">
              <w:rPr>
                <w:szCs w:val="28"/>
                <w:highlight w:val="yellow"/>
                <w:lang w:eastAsia="en-US"/>
              </w:rPr>
              <w:t>0,06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C90C74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C90C74">
              <w:rPr>
                <w:szCs w:val="28"/>
                <w:highlight w:val="yellow"/>
                <w:lang w:eastAsia="en-US"/>
              </w:rPr>
              <w:t>460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C90C74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C90C74">
              <w:rPr>
                <w:szCs w:val="28"/>
                <w:highlight w:val="yellow"/>
                <w:lang w:eastAsia="en-US"/>
              </w:rPr>
              <w:t>460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C90C74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C90C74">
              <w:rPr>
                <w:szCs w:val="28"/>
                <w:highlight w:val="yellow"/>
                <w:lang w:eastAsia="en-US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C90C74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C90C74">
              <w:rPr>
                <w:szCs w:val="28"/>
                <w:highlight w:val="yellow"/>
                <w:lang w:eastAsia="en-US"/>
              </w:rPr>
              <w:t>1,8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C90C74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C90C74">
              <w:rPr>
                <w:szCs w:val="28"/>
                <w:highlight w:val="yellow"/>
                <w:lang w:eastAsia="en-US"/>
              </w:rPr>
              <w:t>460</w:t>
            </w:r>
          </w:p>
        </w:tc>
      </w:tr>
      <w:tr w:rsidR="001C0172" w:rsidTr="001C017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480</w:t>
            </w:r>
          </w:p>
        </w:tc>
      </w:tr>
      <w:tr w:rsidR="001C0172" w:rsidTr="001C017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500</w:t>
            </w:r>
          </w:p>
        </w:tc>
      </w:tr>
      <w:tr w:rsidR="001C0172" w:rsidTr="001C0172">
        <w:trPr>
          <w:trHeight w:val="3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DC0298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DC0298">
              <w:rPr>
                <w:szCs w:val="28"/>
                <w:highlight w:val="yellow"/>
                <w:lang w:eastAsia="en-US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DC0298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DC0298">
              <w:rPr>
                <w:szCs w:val="28"/>
                <w:highlight w:val="yellow"/>
                <w:lang w:eastAsia="en-US"/>
              </w:rPr>
              <w:t>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DC0298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DC0298">
              <w:rPr>
                <w:szCs w:val="28"/>
                <w:highlight w:val="yellow"/>
                <w:lang w:eastAsia="en-US"/>
              </w:rPr>
              <w:t>0,20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DC0298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DC0298">
              <w:rPr>
                <w:szCs w:val="28"/>
                <w:highlight w:val="yellow"/>
                <w:lang w:eastAsia="en-US"/>
              </w:rPr>
              <w:t>520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DC0298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DC0298">
              <w:rPr>
                <w:szCs w:val="28"/>
                <w:highlight w:val="yellow"/>
                <w:lang w:eastAsia="en-US"/>
              </w:rPr>
              <w:t>520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DC0298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DC0298">
              <w:rPr>
                <w:szCs w:val="28"/>
                <w:highlight w:val="yellow"/>
                <w:lang w:eastAsia="en-US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DC0298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DC0298">
              <w:rPr>
                <w:szCs w:val="28"/>
                <w:highlight w:val="yellow"/>
                <w:lang w:eastAsia="en-US"/>
              </w:rPr>
              <w:t>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Pr="00DC0298" w:rsidRDefault="001C0172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DC0298">
              <w:rPr>
                <w:szCs w:val="28"/>
                <w:highlight w:val="yellow"/>
                <w:lang w:eastAsia="en-US"/>
              </w:rPr>
              <w:t>520</w:t>
            </w:r>
          </w:p>
        </w:tc>
      </w:tr>
      <w:tr w:rsidR="001C0172" w:rsidTr="000E0695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410</w:t>
            </w:r>
          </w:p>
        </w:tc>
      </w:tr>
      <w:tr w:rsidR="001C0172" w:rsidTr="000E0695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pStyle w:val="a5"/>
              <w:spacing w:beforeAutospacing="0" w:after="0"/>
              <w:ind w:left="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pStyle w:val="a5"/>
              <w:spacing w:beforeAutospacing="0" w:after="0"/>
              <w:ind w:left="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pStyle w:val="a5"/>
              <w:spacing w:beforeAutospacing="0" w:after="0"/>
              <w:ind w:left="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0,35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pStyle w:val="a5"/>
              <w:spacing w:beforeAutospacing="0" w:after="0"/>
              <w:ind w:left="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pStyle w:val="a5"/>
              <w:spacing w:beforeAutospacing="0" w:after="0"/>
              <w:ind w:left="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pStyle w:val="a5"/>
              <w:spacing w:beforeAutospacing="0" w:after="0"/>
              <w:ind w:left="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pStyle w:val="a5"/>
              <w:spacing w:beforeAutospacing="0" w:after="0"/>
              <w:ind w:left="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2" w:rsidRDefault="001C0172">
            <w:pPr>
              <w:pStyle w:val="a5"/>
              <w:spacing w:beforeAutospacing="0" w:after="0"/>
              <w:ind w:left="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400</w:t>
            </w:r>
          </w:p>
        </w:tc>
      </w:tr>
    </w:tbl>
    <w:p w:rsidR="001C0172" w:rsidRPr="00293542" w:rsidRDefault="001C0172" w:rsidP="00DE619B">
      <w:pPr>
        <w:jc w:val="both"/>
        <w:rPr>
          <w:b/>
        </w:rPr>
      </w:pPr>
      <w:r w:rsidRPr="00293542">
        <w:rPr>
          <w:b/>
        </w:rPr>
        <w:t>Б). Для пункта 3.2.1.</w:t>
      </w:r>
    </w:p>
    <w:p w:rsidR="001C0172" w:rsidRDefault="000E0695" w:rsidP="000E0695">
      <w:pPr>
        <w:jc w:val="center"/>
      </w:pPr>
      <w:r>
        <w:t xml:space="preserve">                                                                                                Таблица 2.</w:t>
      </w: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C0172" w:rsidTr="001C0172">
        <w:tc>
          <w:tcPr>
            <w:tcW w:w="957" w:type="dxa"/>
          </w:tcPr>
          <w:p w:rsidR="001C0172" w:rsidRDefault="001C0172" w:rsidP="00DE619B">
            <w:pPr>
              <w:jc w:val="both"/>
            </w:pPr>
            <w:r>
              <w:t>№ вар</w:t>
            </w:r>
          </w:p>
        </w:tc>
        <w:tc>
          <w:tcPr>
            <w:tcW w:w="957" w:type="dxa"/>
          </w:tcPr>
          <w:p w:rsidR="001C0172" w:rsidRPr="001C0172" w:rsidRDefault="001C0172" w:rsidP="001C0172">
            <w:pPr>
              <w:jc w:val="center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1</w:t>
            </w:r>
          </w:p>
        </w:tc>
        <w:tc>
          <w:tcPr>
            <w:tcW w:w="957" w:type="dxa"/>
          </w:tcPr>
          <w:p w:rsidR="001C0172" w:rsidRPr="000E0695" w:rsidRDefault="000E0695" w:rsidP="00DE619B">
            <w:pPr>
              <w:jc w:val="both"/>
              <w:rPr>
                <w:vertAlign w:val="subscript"/>
              </w:rPr>
            </w:pPr>
            <w:r>
              <w:rPr>
                <w:szCs w:val="28"/>
                <w:lang w:val="en-US" w:eastAsia="en-US"/>
              </w:rPr>
              <w:t>t</w:t>
            </w:r>
            <w:r>
              <w:rPr>
                <w:szCs w:val="28"/>
                <w:vertAlign w:val="subscript"/>
                <w:lang w:eastAsia="en-US"/>
              </w:rPr>
              <w:t>1</w:t>
            </w:r>
            <w:r>
              <w:rPr>
                <w:szCs w:val="28"/>
                <w:vertAlign w:val="superscript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С</w:t>
            </w:r>
          </w:p>
        </w:tc>
        <w:tc>
          <w:tcPr>
            <w:tcW w:w="957" w:type="dxa"/>
          </w:tcPr>
          <w:p w:rsidR="001C0172" w:rsidRPr="000E0695" w:rsidRDefault="000E0695" w:rsidP="001C0172">
            <w:pPr>
              <w:jc w:val="center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2</w:t>
            </w:r>
          </w:p>
        </w:tc>
        <w:tc>
          <w:tcPr>
            <w:tcW w:w="957" w:type="dxa"/>
          </w:tcPr>
          <w:p w:rsidR="001C0172" w:rsidRPr="001C0172" w:rsidRDefault="001C0172" w:rsidP="001C0172">
            <w:pPr>
              <w:jc w:val="center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1</w:t>
            </w:r>
          </w:p>
        </w:tc>
        <w:tc>
          <w:tcPr>
            <w:tcW w:w="957" w:type="dxa"/>
          </w:tcPr>
          <w:p w:rsidR="001C0172" w:rsidRDefault="001C0172" w:rsidP="00DE619B">
            <w:pPr>
              <w:jc w:val="both"/>
            </w:pPr>
            <w:r>
              <w:rPr>
                <w:szCs w:val="28"/>
                <w:lang w:val="en-US" w:eastAsia="en-US"/>
              </w:rPr>
              <w:t>t</w:t>
            </w:r>
            <w:r>
              <w:rPr>
                <w:szCs w:val="28"/>
                <w:vertAlign w:val="subscript"/>
                <w:lang w:eastAsia="en-US"/>
              </w:rPr>
              <w:t>1</w:t>
            </w:r>
            <w:r>
              <w:rPr>
                <w:szCs w:val="28"/>
                <w:vertAlign w:val="superscript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С</w:t>
            </w:r>
          </w:p>
        </w:tc>
        <w:tc>
          <w:tcPr>
            <w:tcW w:w="957" w:type="dxa"/>
          </w:tcPr>
          <w:p w:rsidR="001C0172" w:rsidRPr="001C0172" w:rsidRDefault="001C0172" w:rsidP="001C0172">
            <w:pPr>
              <w:jc w:val="center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2</w:t>
            </w:r>
          </w:p>
        </w:tc>
        <w:tc>
          <w:tcPr>
            <w:tcW w:w="957" w:type="dxa"/>
          </w:tcPr>
          <w:p w:rsidR="001C0172" w:rsidRPr="001C0172" w:rsidRDefault="001C0172" w:rsidP="001C0172">
            <w:pPr>
              <w:jc w:val="center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1</w:t>
            </w:r>
          </w:p>
        </w:tc>
        <w:tc>
          <w:tcPr>
            <w:tcW w:w="957" w:type="dxa"/>
          </w:tcPr>
          <w:p w:rsidR="001C0172" w:rsidRDefault="001C0172" w:rsidP="00DE619B">
            <w:pPr>
              <w:jc w:val="both"/>
            </w:pPr>
            <w:r>
              <w:rPr>
                <w:szCs w:val="28"/>
                <w:lang w:val="en-US" w:eastAsia="en-US"/>
              </w:rPr>
              <w:t>t</w:t>
            </w:r>
            <w:r>
              <w:rPr>
                <w:szCs w:val="28"/>
                <w:vertAlign w:val="subscript"/>
                <w:lang w:eastAsia="en-US"/>
              </w:rPr>
              <w:t>1</w:t>
            </w:r>
            <w:r>
              <w:rPr>
                <w:szCs w:val="28"/>
                <w:vertAlign w:val="superscript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С</w:t>
            </w:r>
          </w:p>
        </w:tc>
        <w:tc>
          <w:tcPr>
            <w:tcW w:w="958" w:type="dxa"/>
          </w:tcPr>
          <w:p w:rsidR="001C0172" w:rsidRPr="001C0172" w:rsidRDefault="001C0172" w:rsidP="001C0172">
            <w:pPr>
              <w:jc w:val="center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2</w:t>
            </w:r>
          </w:p>
        </w:tc>
      </w:tr>
      <w:tr w:rsidR="001C0172" w:rsidTr="001C0172">
        <w:tc>
          <w:tcPr>
            <w:tcW w:w="957" w:type="dxa"/>
          </w:tcPr>
          <w:p w:rsidR="001C0172" w:rsidRDefault="000E0695" w:rsidP="000E0695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6</w:t>
            </w:r>
            <w:r w:rsidR="000E0695">
              <w:t>0</w:t>
            </w:r>
          </w:p>
        </w:tc>
        <w:tc>
          <w:tcPr>
            <w:tcW w:w="957" w:type="dxa"/>
          </w:tcPr>
          <w:p w:rsidR="001C0172" w:rsidRDefault="000E0695" w:rsidP="00DE619B">
            <w:pPr>
              <w:jc w:val="both"/>
            </w:pPr>
            <w:r>
              <w:t>420</w:t>
            </w:r>
          </w:p>
        </w:tc>
        <w:tc>
          <w:tcPr>
            <w:tcW w:w="957" w:type="dxa"/>
          </w:tcPr>
          <w:p w:rsidR="001C0172" w:rsidRDefault="000E0695" w:rsidP="00DE619B">
            <w:pPr>
              <w:jc w:val="both"/>
            </w:pPr>
            <w:r>
              <w:t>1,4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50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440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1,4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50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420</w:t>
            </w:r>
          </w:p>
        </w:tc>
        <w:tc>
          <w:tcPr>
            <w:tcW w:w="958" w:type="dxa"/>
          </w:tcPr>
          <w:p w:rsidR="001C0172" w:rsidRDefault="001577C8" w:rsidP="00DE619B">
            <w:pPr>
              <w:jc w:val="both"/>
            </w:pPr>
            <w:r>
              <w:t>1,0</w:t>
            </w:r>
          </w:p>
        </w:tc>
      </w:tr>
      <w:tr w:rsidR="001C0172" w:rsidTr="001C0172">
        <w:tc>
          <w:tcPr>
            <w:tcW w:w="957" w:type="dxa"/>
          </w:tcPr>
          <w:p w:rsidR="001C0172" w:rsidRPr="00C90C74" w:rsidRDefault="000E0695" w:rsidP="000E0695">
            <w:pPr>
              <w:jc w:val="center"/>
              <w:rPr>
                <w:highlight w:val="yellow"/>
              </w:rPr>
            </w:pPr>
            <w:r w:rsidRPr="00C90C74">
              <w:rPr>
                <w:highlight w:val="yellow"/>
              </w:rPr>
              <w:t>2</w:t>
            </w:r>
          </w:p>
        </w:tc>
        <w:tc>
          <w:tcPr>
            <w:tcW w:w="957" w:type="dxa"/>
          </w:tcPr>
          <w:p w:rsidR="001C0172" w:rsidRPr="00C90C74" w:rsidRDefault="001577C8" w:rsidP="00DE619B">
            <w:pPr>
              <w:jc w:val="both"/>
              <w:rPr>
                <w:highlight w:val="yellow"/>
              </w:rPr>
            </w:pPr>
            <w:r w:rsidRPr="00C90C74">
              <w:rPr>
                <w:highlight w:val="yellow"/>
              </w:rPr>
              <w:t>7</w:t>
            </w:r>
            <w:r w:rsidR="000E0695" w:rsidRPr="00C90C74">
              <w:rPr>
                <w:highlight w:val="yellow"/>
              </w:rPr>
              <w:t>0</w:t>
            </w:r>
          </w:p>
        </w:tc>
        <w:tc>
          <w:tcPr>
            <w:tcW w:w="957" w:type="dxa"/>
          </w:tcPr>
          <w:p w:rsidR="001C0172" w:rsidRPr="00C90C74" w:rsidRDefault="000E0695" w:rsidP="00DE619B">
            <w:pPr>
              <w:jc w:val="both"/>
              <w:rPr>
                <w:highlight w:val="yellow"/>
              </w:rPr>
            </w:pPr>
            <w:r w:rsidRPr="00C90C74">
              <w:rPr>
                <w:highlight w:val="yellow"/>
              </w:rPr>
              <w:t>460</w:t>
            </w:r>
          </w:p>
        </w:tc>
        <w:tc>
          <w:tcPr>
            <w:tcW w:w="957" w:type="dxa"/>
          </w:tcPr>
          <w:p w:rsidR="001C0172" w:rsidRPr="00C90C74" w:rsidRDefault="000E0695" w:rsidP="00DE619B">
            <w:pPr>
              <w:jc w:val="both"/>
              <w:rPr>
                <w:highlight w:val="yellow"/>
              </w:rPr>
            </w:pPr>
            <w:r w:rsidRPr="00C90C74">
              <w:rPr>
                <w:highlight w:val="yellow"/>
              </w:rPr>
              <w:t>1,8</w:t>
            </w:r>
          </w:p>
        </w:tc>
        <w:tc>
          <w:tcPr>
            <w:tcW w:w="957" w:type="dxa"/>
          </w:tcPr>
          <w:p w:rsidR="001C0172" w:rsidRPr="00C90C74" w:rsidRDefault="001577C8" w:rsidP="00DE619B">
            <w:pPr>
              <w:jc w:val="both"/>
              <w:rPr>
                <w:highlight w:val="yellow"/>
              </w:rPr>
            </w:pPr>
            <w:r w:rsidRPr="00C90C74">
              <w:rPr>
                <w:highlight w:val="yellow"/>
              </w:rPr>
              <w:t>60</w:t>
            </w:r>
          </w:p>
        </w:tc>
        <w:tc>
          <w:tcPr>
            <w:tcW w:w="957" w:type="dxa"/>
          </w:tcPr>
          <w:p w:rsidR="001C0172" w:rsidRPr="00C90C74" w:rsidRDefault="001577C8" w:rsidP="00DE619B">
            <w:pPr>
              <w:jc w:val="both"/>
              <w:rPr>
                <w:highlight w:val="yellow"/>
              </w:rPr>
            </w:pPr>
            <w:r w:rsidRPr="00C90C74">
              <w:rPr>
                <w:highlight w:val="yellow"/>
              </w:rPr>
              <w:t>480</w:t>
            </w:r>
          </w:p>
        </w:tc>
        <w:tc>
          <w:tcPr>
            <w:tcW w:w="957" w:type="dxa"/>
          </w:tcPr>
          <w:p w:rsidR="001C0172" w:rsidRPr="00C90C74" w:rsidRDefault="001577C8" w:rsidP="00DE619B">
            <w:pPr>
              <w:jc w:val="both"/>
              <w:rPr>
                <w:highlight w:val="yellow"/>
              </w:rPr>
            </w:pPr>
            <w:r w:rsidRPr="00C90C74">
              <w:rPr>
                <w:highlight w:val="yellow"/>
              </w:rPr>
              <w:t>1,8</w:t>
            </w:r>
          </w:p>
        </w:tc>
        <w:tc>
          <w:tcPr>
            <w:tcW w:w="957" w:type="dxa"/>
          </w:tcPr>
          <w:p w:rsidR="001C0172" w:rsidRPr="00C90C74" w:rsidRDefault="001577C8" w:rsidP="00DE619B">
            <w:pPr>
              <w:jc w:val="both"/>
              <w:rPr>
                <w:highlight w:val="yellow"/>
              </w:rPr>
            </w:pPr>
            <w:r w:rsidRPr="00C90C74">
              <w:rPr>
                <w:highlight w:val="yellow"/>
              </w:rPr>
              <w:t>60</w:t>
            </w:r>
          </w:p>
        </w:tc>
        <w:tc>
          <w:tcPr>
            <w:tcW w:w="957" w:type="dxa"/>
          </w:tcPr>
          <w:p w:rsidR="001C0172" w:rsidRPr="00C90C74" w:rsidRDefault="001577C8" w:rsidP="00DE619B">
            <w:pPr>
              <w:jc w:val="both"/>
              <w:rPr>
                <w:highlight w:val="yellow"/>
              </w:rPr>
            </w:pPr>
            <w:r w:rsidRPr="00C90C74">
              <w:rPr>
                <w:highlight w:val="yellow"/>
              </w:rPr>
              <w:t>460</w:t>
            </w:r>
          </w:p>
        </w:tc>
        <w:tc>
          <w:tcPr>
            <w:tcW w:w="958" w:type="dxa"/>
          </w:tcPr>
          <w:p w:rsidR="001C0172" w:rsidRPr="00C90C74" w:rsidRDefault="001577C8" w:rsidP="00DE619B">
            <w:pPr>
              <w:jc w:val="both"/>
              <w:rPr>
                <w:highlight w:val="yellow"/>
              </w:rPr>
            </w:pPr>
            <w:r w:rsidRPr="00C90C74">
              <w:rPr>
                <w:highlight w:val="yellow"/>
              </w:rPr>
              <w:t>1,5</w:t>
            </w:r>
          </w:p>
        </w:tc>
      </w:tr>
      <w:tr w:rsidR="001C0172" w:rsidTr="001C0172">
        <w:tc>
          <w:tcPr>
            <w:tcW w:w="957" w:type="dxa"/>
          </w:tcPr>
          <w:p w:rsidR="001C0172" w:rsidRDefault="000E0695" w:rsidP="000E0695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8</w:t>
            </w:r>
            <w:r w:rsidR="000E0695">
              <w:t>0</w:t>
            </w:r>
          </w:p>
        </w:tc>
        <w:tc>
          <w:tcPr>
            <w:tcW w:w="957" w:type="dxa"/>
          </w:tcPr>
          <w:p w:rsidR="001C0172" w:rsidRDefault="000E0695" w:rsidP="00DE619B">
            <w:pPr>
              <w:jc w:val="both"/>
            </w:pPr>
            <w:r>
              <w:t>480</w:t>
            </w:r>
          </w:p>
        </w:tc>
        <w:tc>
          <w:tcPr>
            <w:tcW w:w="957" w:type="dxa"/>
          </w:tcPr>
          <w:p w:rsidR="001C0172" w:rsidRDefault="000E0695" w:rsidP="00DE619B">
            <w:pPr>
              <w:jc w:val="both"/>
            </w:pPr>
            <w:r>
              <w:t>2,2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70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500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2,2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70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480</w:t>
            </w:r>
          </w:p>
        </w:tc>
        <w:tc>
          <w:tcPr>
            <w:tcW w:w="958" w:type="dxa"/>
          </w:tcPr>
          <w:p w:rsidR="001C0172" w:rsidRDefault="001577C8" w:rsidP="00DE619B">
            <w:pPr>
              <w:jc w:val="both"/>
            </w:pPr>
            <w:r>
              <w:t>1,8</w:t>
            </w:r>
          </w:p>
        </w:tc>
      </w:tr>
      <w:tr w:rsidR="001C0172" w:rsidTr="001C0172">
        <w:tc>
          <w:tcPr>
            <w:tcW w:w="957" w:type="dxa"/>
          </w:tcPr>
          <w:p w:rsidR="001C0172" w:rsidRDefault="000E0695" w:rsidP="000E0695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9</w:t>
            </w:r>
            <w:r w:rsidR="000E0695">
              <w:t>0</w:t>
            </w:r>
          </w:p>
        </w:tc>
        <w:tc>
          <w:tcPr>
            <w:tcW w:w="957" w:type="dxa"/>
          </w:tcPr>
          <w:p w:rsidR="001C0172" w:rsidRDefault="000E0695" w:rsidP="00DE619B">
            <w:pPr>
              <w:jc w:val="both"/>
            </w:pPr>
            <w:r>
              <w:t>500</w:t>
            </w:r>
          </w:p>
        </w:tc>
        <w:tc>
          <w:tcPr>
            <w:tcW w:w="957" w:type="dxa"/>
          </w:tcPr>
          <w:p w:rsidR="001C0172" w:rsidRDefault="000E0695" w:rsidP="00DE619B">
            <w:pPr>
              <w:jc w:val="both"/>
            </w:pPr>
            <w:r>
              <w:t>2,8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80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520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2,8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80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500</w:t>
            </w:r>
          </w:p>
        </w:tc>
        <w:tc>
          <w:tcPr>
            <w:tcW w:w="958" w:type="dxa"/>
          </w:tcPr>
          <w:p w:rsidR="001C0172" w:rsidRDefault="001577C8" w:rsidP="00DE619B">
            <w:pPr>
              <w:jc w:val="both"/>
            </w:pPr>
            <w:r>
              <w:t>2,2</w:t>
            </w:r>
          </w:p>
        </w:tc>
      </w:tr>
      <w:tr w:rsidR="001C0172" w:rsidTr="001C0172">
        <w:tc>
          <w:tcPr>
            <w:tcW w:w="957" w:type="dxa"/>
          </w:tcPr>
          <w:p w:rsidR="001C0172" w:rsidRPr="00DC0298" w:rsidRDefault="000E0695" w:rsidP="000E0695">
            <w:pPr>
              <w:jc w:val="center"/>
              <w:rPr>
                <w:highlight w:val="yellow"/>
              </w:rPr>
            </w:pPr>
            <w:r w:rsidRPr="00DC0298">
              <w:rPr>
                <w:highlight w:val="yellow"/>
              </w:rPr>
              <w:t>5</w:t>
            </w:r>
          </w:p>
        </w:tc>
        <w:tc>
          <w:tcPr>
            <w:tcW w:w="957" w:type="dxa"/>
          </w:tcPr>
          <w:p w:rsidR="001C0172" w:rsidRPr="00DC0298" w:rsidRDefault="001577C8" w:rsidP="00DE619B">
            <w:pPr>
              <w:jc w:val="both"/>
              <w:rPr>
                <w:highlight w:val="yellow"/>
              </w:rPr>
            </w:pPr>
            <w:r w:rsidRPr="00DC0298">
              <w:rPr>
                <w:highlight w:val="yellow"/>
              </w:rPr>
              <w:t>10</w:t>
            </w:r>
            <w:r w:rsidR="000E0695" w:rsidRPr="00DC0298">
              <w:rPr>
                <w:highlight w:val="yellow"/>
              </w:rPr>
              <w:t>0</w:t>
            </w:r>
          </w:p>
        </w:tc>
        <w:tc>
          <w:tcPr>
            <w:tcW w:w="957" w:type="dxa"/>
          </w:tcPr>
          <w:p w:rsidR="001C0172" w:rsidRPr="00DC0298" w:rsidRDefault="000E0695" w:rsidP="00DE619B">
            <w:pPr>
              <w:jc w:val="both"/>
              <w:rPr>
                <w:highlight w:val="yellow"/>
              </w:rPr>
            </w:pPr>
            <w:r w:rsidRPr="00DC0298">
              <w:rPr>
                <w:highlight w:val="yellow"/>
              </w:rPr>
              <w:t>520</w:t>
            </w:r>
          </w:p>
        </w:tc>
        <w:tc>
          <w:tcPr>
            <w:tcW w:w="957" w:type="dxa"/>
          </w:tcPr>
          <w:p w:rsidR="001C0172" w:rsidRPr="00DC0298" w:rsidRDefault="000E0695" w:rsidP="00DE619B">
            <w:pPr>
              <w:jc w:val="both"/>
              <w:rPr>
                <w:highlight w:val="yellow"/>
              </w:rPr>
            </w:pPr>
            <w:r w:rsidRPr="00DC0298">
              <w:rPr>
                <w:highlight w:val="yellow"/>
              </w:rPr>
              <w:t>3,0</w:t>
            </w:r>
          </w:p>
        </w:tc>
        <w:tc>
          <w:tcPr>
            <w:tcW w:w="957" w:type="dxa"/>
          </w:tcPr>
          <w:p w:rsidR="001C0172" w:rsidRPr="00DC0298" w:rsidRDefault="001577C8" w:rsidP="00DE619B">
            <w:pPr>
              <w:jc w:val="both"/>
              <w:rPr>
                <w:highlight w:val="yellow"/>
              </w:rPr>
            </w:pPr>
            <w:r w:rsidRPr="00DC0298">
              <w:rPr>
                <w:highlight w:val="yellow"/>
              </w:rPr>
              <w:t>90</w:t>
            </w:r>
          </w:p>
        </w:tc>
        <w:tc>
          <w:tcPr>
            <w:tcW w:w="957" w:type="dxa"/>
          </w:tcPr>
          <w:p w:rsidR="001C0172" w:rsidRPr="00DC0298" w:rsidRDefault="001577C8" w:rsidP="00DE619B">
            <w:pPr>
              <w:jc w:val="both"/>
              <w:rPr>
                <w:highlight w:val="yellow"/>
              </w:rPr>
            </w:pPr>
            <w:r w:rsidRPr="00DC0298">
              <w:rPr>
                <w:highlight w:val="yellow"/>
              </w:rPr>
              <w:t>550</w:t>
            </w:r>
          </w:p>
        </w:tc>
        <w:tc>
          <w:tcPr>
            <w:tcW w:w="957" w:type="dxa"/>
          </w:tcPr>
          <w:p w:rsidR="001C0172" w:rsidRPr="00DC0298" w:rsidRDefault="001577C8" w:rsidP="00DE619B">
            <w:pPr>
              <w:jc w:val="both"/>
              <w:rPr>
                <w:highlight w:val="yellow"/>
              </w:rPr>
            </w:pPr>
            <w:r w:rsidRPr="00DC0298">
              <w:rPr>
                <w:highlight w:val="yellow"/>
              </w:rPr>
              <w:t>3,0</w:t>
            </w:r>
          </w:p>
        </w:tc>
        <w:tc>
          <w:tcPr>
            <w:tcW w:w="957" w:type="dxa"/>
          </w:tcPr>
          <w:p w:rsidR="001C0172" w:rsidRPr="00DC0298" w:rsidRDefault="001577C8" w:rsidP="00DE619B">
            <w:pPr>
              <w:jc w:val="both"/>
              <w:rPr>
                <w:highlight w:val="yellow"/>
              </w:rPr>
            </w:pPr>
            <w:r w:rsidRPr="00DC0298">
              <w:rPr>
                <w:highlight w:val="yellow"/>
              </w:rPr>
              <w:t>90</w:t>
            </w:r>
          </w:p>
        </w:tc>
        <w:tc>
          <w:tcPr>
            <w:tcW w:w="957" w:type="dxa"/>
          </w:tcPr>
          <w:p w:rsidR="001C0172" w:rsidRPr="00DC0298" w:rsidRDefault="001577C8" w:rsidP="00DE619B">
            <w:pPr>
              <w:jc w:val="both"/>
              <w:rPr>
                <w:highlight w:val="yellow"/>
              </w:rPr>
            </w:pPr>
            <w:r w:rsidRPr="00DC0298">
              <w:rPr>
                <w:highlight w:val="yellow"/>
              </w:rPr>
              <w:t>520</w:t>
            </w:r>
          </w:p>
        </w:tc>
        <w:tc>
          <w:tcPr>
            <w:tcW w:w="958" w:type="dxa"/>
          </w:tcPr>
          <w:p w:rsidR="001C0172" w:rsidRPr="00DC0298" w:rsidRDefault="001577C8" w:rsidP="00DE619B">
            <w:pPr>
              <w:jc w:val="both"/>
              <w:rPr>
                <w:highlight w:val="yellow"/>
              </w:rPr>
            </w:pPr>
            <w:r w:rsidRPr="00DC0298">
              <w:rPr>
                <w:highlight w:val="yellow"/>
              </w:rPr>
              <w:t>2,5</w:t>
            </w:r>
          </w:p>
        </w:tc>
      </w:tr>
      <w:tr w:rsidR="001C0172" w:rsidTr="001C0172">
        <w:tc>
          <w:tcPr>
            <w:tcW w:w="957" w:type="dxa"/>
          </w:tcPr>
          <w:p w:rsidR="001C0172" w:rsidRDefault="000E0695" w:rsidP="000E0695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11</w:t>
            </w:r>
            <w:r w:rsidR="000E0695">
              <w:t>0</w:t>
            </w:r>
          </w:p>
        </w:tc>
        <w:tc>
          <w:tcPr>
            <w:tcW w:w="957" w:type="dxa"/>
          </w:tcPr>
          <w:p w:rsidR="001C0172" w:rsidRDefault="000E0695" w:rsidP="00DE619B">
            <w:pPr>
              <w:jc w:val="both"/>
            </w:pPr>
            <w:r>
              <w:t>410</w:t>
            </w:r>
          </w:p>
        </w:tc>
        <w:tc>
          <w:tcPr>
            <w:tcW w:w="957" w:type="dxa"/>
          </w:tcPr>
          <w:p w:rsidR="001C0172" w:rsidRDefault="000E0695" w:rsidP="00DE619B">
            <w:pPr>
              <w:jc w:val="both"/>
            </w:pPr>
            <w:r>
              <w:t>2,5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100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450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2,5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100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410</w:t>
            </w:r>
          </w:p>
        </w:tc>
        <w:tc>
          <w:tcPr>
            <w:tcW w:w="958" w:type="dxa"/>
          </w:tcPr>
          <w:p w:rsidR="001C0172" w:rsidRDefault="001577C8" w:rsidP="00DE619B">
            <w:pPr>
              <w:jc w:val="both"/>
            </w:pPr>
            <w:r>
              <w:t>2,1</w:t>
            </w:r>
          </w:p>
        </w:tc>
      </w:tr>
      <w:tr w:rsidR="001C0172" w:rsidTr="001C0172">
        <w:tc>
          <w:tcPr>
            <w:tcW w:w="957" w:type="dxa"/>
          </w:tcPr>
          <w:p w:rsidR="001C0172" w:rsidRDefault="000E0695" w:rsidP="000E0695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120</w:t>
            </w:r>
          </w:p>
        </w:tc>
        <w:tc>
          <w:tcPr>
            <w:tcW w:w="957" w:type="dxa"/>
          </w:tcPr>
          <w:p w:rsidR="001C0172" w:rsidRDefault="000E0695" w:rsidP="00DE619B">
            <w:pPr>
              <w:jc w:val="both"/>
            </w:pPr>
            <w:r>
              <w:t>400</w:t>
            </w:r>
          </w:p>
        </w:tc>
        <w:tc>
          <w:tcPr>
            <w:tcW w:w="957" w:type="dxa"/>
          </w:tcPr>
          <w:p w:rsidR="001C0172" w:rsidRDefault="000E0695" w:rsidP="00DE619B">
            <w:pPr>
              <w:jc w:val="both"/>
            </w:pPr>
            <w:r>
              <w:t>2,6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110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460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2,6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110</w:t>
            </w:r>
          </w:p>
        </w:tc>
        <w:tc>
          <w:tcPr>
            <w:tcW w:w="957" w:type="dxa"/>
          </w:tcPr>
          <w:p w:rsidR="001C0172" w:rsidRDefault="001577C8" w:rsidP="00DE619B">
            <w:pPr>
              <w:jc w:val="both"/>
            </w:pPr>
            <w:r>
              <w:t>400</w:t>
            </w:r>
          </w:p>
        </w:tc>
        <w:tc>
          <w:tcPr>
            <w:tcW w:w="958" w:type="dxa"/>
          </w:tcPr>
          <w:p w:rsidR="001C0172" w:rsidRDefault="001577C8" w:rsidP="00DE619B">
            <w:pPr>
              <w:jc w:val="both"/>
            </w:pPr>
            <w:r>
              <w:t>2,0</w:t>
            </w:r>
          </w:p>
        </w:tc>
      </w:tr>
    </w:tbl>
    <w:p w:rsidR="001C0172" w:rsidRDefault="001577C8" w:rsidP="00DE619B">
      <w:pPr>
        <w:jc w:val="both"/>
      </w:pPr>
      <w:r>
        <w:t>(Размерности величин в Таблице 2 те же, что и в Таблице 1).</w:t>
      </w:r>
    </w:p>
    <w:p w:rsidR="001577C8" w:rsidRPr="00293542" w:rsidRDefault="00087A83" w:rsidP="00DE619B">
      <w:pPr>
        <w:jc w:val="both"/>
        <w:rPr>
          <w:b/>
        </w:rPr>
      </w:pPr>
      <w:r w:rsidRPr="00293542">
        <w:rPr>
          <w:b/>
        </w:rPr>
        <w:t>В). Для пункта 3.2.2</w:t>
      </w:r>
      <w:r w:rsidR="001577C8" w:rsidRPr="00293542">
        <w:rPr>
          <w:b/>
        </w:rPr>
        <w:t>.</w:t>
      </w:r>
    </w:p>
    <w:p w:rsidR="00293542" w:rsidRDefault="00293542" w:rsidP="00293542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работе над решением вопроса по влиянию вторичного перегрева пара необходимо первую часть процесса адиабатного расширения в турбине провести до состояния сухого насыщенного пара (линия сухого пара: х = 1), а  после этого осуществить вторичный изобарный перегрев пара (при соответствующем давлении, которое надо определить по таблицам воды и водяного пара) до такой  температуры  вторичного перегрева пара, чтобы при  дальнейшем</w:t>
      </w:r>
      <w:r w:rsidR="0046658C">
        <w:rPr>
          <w:bCs/>
          <w:sz w:val="28"/>
          <w:szCs w:val="28"/>
        </w:rPr>
        <w:t xml:space="preserve"> прод</w:t>
      </w:r>
      <w:r>
        <w:rPr>
          <w:bCs/>
          <w:sz w:val="28"/>
          <w:szCs w:val="28"/>
        </w:rPr>
        <w:t>ол</w:t>
      </w:r>
      <w:r w:rsidR="0046658C">
        <w:rPr>
          <w:bCs/>
          <w:sz w:val="28"/>
          <w:szCs w:val="28"/>
        </w:rPr>
        <w:t>жении проведения адиабатного расширения пара в турбине на выходе его из турбины получить состояние сухого насыщенного пара.</w:t>
      </w:r>
    </w:p>
    <w:p w:rsidR="0046658C" w:rsidRDefault="0046658C" w:rsidP="0046658C">
      <w:pPr>
        <w:jc w:val="both"/>
        <w:rPr>
          <w:b/>
        </w:rPr>
      </w:pPr>
      <w:r>
        <w:rPr>
          <w:b/>
        </w:rPr>
        <w:t>Г). Для пункта 3.2.3</w:t>
      </w:r>
      <w:r w:rsidRPr="00293542">
        <w:rPr>
          <w:b/>
        </w:rPr>
        <w:t>.</w:t>
      </w:r>
    </w:p>
    <w:p w:rsidR="0046658C" w:rsidRPr="00027302" w:rsidRDefault="00260698" w:rsidP="0046658C">
      <w:pPr>
        <w:jc w:val="both"/>
      </w:pPr>
      <w:r>
        <w:t xml:space="preserve">Использовать </w:t>
      </w:r>
      <w:r w:rsidR="0046658C">
        <w:t>результаты расчетов, полученные в пункте 3.1, относящиеся к анализу эффективности  работы паросиловой установки</w:t>
      </w:r>
      <w:r>
        <w:t xml:space="preserve"> по конденсационной схеме </w:t>
      </w:r>
      <w:r w:rsidRPr="00260698">
        <w:rPr>
          <w:b/>
        </w:rPr>
        <w:t>(КЭС)</w:t>
      </w:r>
      <w:r>
        <w:rPr>
          <w:b/>
        </w:rPr>
        <w:t xml:space="preserve">. </w:t>
      </w:r>
      <w:r>
        <w:t>Для подогрева конденсата пара, уходящего из паровой турбины ( его температура известна по пункту 3.1).необходимо использовать способ регенеративного его подогрева за счет промежуточного отбора пара из турбины  отбираемого с температурой</w:t>
      </w:r>
      <w:r w:rsidR="00027302">
        <w:t xml:space="preserve"> 110 </w:t>
      </w:r>
      <w:r w:rsidR="00027302">
        <w:rPr>
          <w:vertAlign w:val="superscript"/>
        </w:rPr>
        <w:t>о</w:t>
      </w:r>
      <w:r w:rsidR="00027302">
        <w:t>С.</w:t>
      </w:r>
    </w:p>
    <w:p w:rsidR="000A59A2" w:rsidRDefault="000A59A2" w:rsidP="000A59A2">
      <w:pPr>
        <w:pStyle w:val="a5"/>
        <w:spacing w:after="0"/>
        <w:ind w:firstLine="709"/>
        <w:rPr>
          <w:sz w:val="28"/>
          <w:szCs w:val="28"/>
        </w:rPr>
      </w:pPr>
    </w:p>
    <w:p w:rsidR="000A59A2" w:rsidRDefault="000A59A2" w:rsidP="000A59A2">
      <w:pPr>
        <w:rPr>
          <w:szCs w:val="28"/>
        </w:rPr>
      </w:pPr>
    </w:p>
    <w:p w:rsidR="000A59A2" w:rsidRDefault="000A59A2" w:rsidP="000A59A2">
      <w:pPr>
        <w:rPr>
          <w:szCs w:val="28"/>
        </w:rPr>
      </w:pPr>
    </w:p>
    <w:p w:rsidR="0046658C" w:rsidRPr="0046658C" w:rsidRDefault="0046658C" w:rsidP="00293542">
      <w:pPr>
        <w:pStyle w:val="a5"/>
        <w:spacing w:after="0"/>
        <w:jc w:val="both"/>
        <w:rPr>
          <w:bCs/>
          <w:sz w:val="28"/>
          <w:szCs w:val="28"/>
        </w:rPr>
      </w:pPr>
    </w:p>
    <w:p w:rsidR="00293542" w:rsidRDefault="00293542" w:rsidP="00293542">
      <w:pPr>
        <w:jc w:val="center"/>
        <w:rPr>
          <w:b/>
          <w:szCs w:val="28"/>
        </w:rPr>
      </w:pPr>
    </w:p>
    <w:p w:rsidR="00293542" w:rsidRDefault="00293542" w:rsidP="00DE619B">
      <w:pPr>
        <w:jc w:val="both"/>
      </w:pPr>
    </w:p>
    <w:p w:rsidR="00087A83" w:rsidRDefault="00087A83" w:rsidP="00DE619B">
      <w:pPr>
        <w:jc w:val="both"/>
      </w:pPr>
    </w:p>
    <w:p w:rsidR="00163431" w:rsidRPr="00163431" w:rsidRDefault="00163431" w:rsidP="00163431">
      <w:pPr>
        <w:jc w:val="center"/>
      </w:pPr>
    </w:p>
    <w:p w:rsidR="00A427B6" w:rsidRPr="00C32182" w:rsidRDefault="00A427B6" w:rsidP="00163431">
      <w:pPr>
        <w:pStyle w:val="a4"/>
        <w:ind w:left="426"/>
        <w:jc w:val="center"/>
      </w:pPr>
    </w:p>
    <w:sectPr w:rsidR="00A427B6" w:rsidRPr="00C32182" w:rsidSect="002E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97" w:rsidRDefault="00D22A97" w:rsidP="00FA69AD">
      <w:r>
        <w:separator/>
      </w:r>
    </w:p>
  </w:endnote>
  <w:endnote w:type="continuationSeparator" w:id="0">
    <w:p w:rsidR="00D22A97" w:rsidRDefault="00D22A97" w:rsidP="00FA6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97" w:rsidRDefault="00D22A97" w:rsidP="00FA69AD">
      <w:r>
        <w:separator/>
      </w:r>
    </w:p>
  </w:footnote>
  <w:footnote w:type="continuationSeparator" w:id="0">
    <w:p w:rsidR="00D22A97" w:rsidRDefault="00D22A97" w:rsidP="00FA6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58C2"/>
    <w:multiLevelType w:val="multilevel"/>
    <w:tmpl w:val="3CC6E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380"/>
    <w:rsid w:val="000148B4"/>
    <w:rsid w:val="00027302"/>
    <w:rsid w:val="000401A2"/>
    <w:rsid w:val="00087A83"/>
    <w:rsid w:val="000A59A2"/>
    <w:rsid w:val="000E0695"/>
    <w:rsid w:val="00154FE6"/>
    <w:rsid w:val="001577C8"/>
    <w:rsid w:val="00163431"/>
    <w:rsid w:val="001C0172"/>
    <w:rsid w:val="001F0914"/>
    <w:rsid w:val="00260698"/>
    <w:rsid w:val="00293542"/>
    <w:rsid w:val="002E596C"/>
    <w:rsid w:val="002F1132"/>
    <w:rsid w:val="00350AF5"/>
    <w:rsid w:val="0046658C"/>
    <w:rsid w:val="005A0143"/>
    <w:rsid w:val="005B38D6"/>
    <w:rsid w:val="006B37F6"/>
    <w:rsid w:val="00A427B6"/>
    <w:rsid w:val="00A916A0"/>
    <w:rsid w:val="00AD055D"/>
    <w:rsid w:val="00AE77D6"/>
    <w:rsid w:val="00AF273F"/>
    <w:rsid w:val="00C264DB"/>
    <w:rsid w:val="00C32182"/>
    <w:rsid w:val="00C90C74"/>
    <w:rsid w:val="00C94ADC"/>
    <w:rsid w:val="00CD50FB"/>
    <w:rsid w:val="00CF45A0"/>
    <w:rsid w:val="00D02380"/>
    <w:rsid w:val="00D22A97"/>
    <w:rsid w:val="00D53AB1"/>
    <w:rsid w:val="00DC0298"/>
    <w:rsid w:val="00DE619B"/>
    <w:rsid w:val="00E66658"/>
    <w:rsid w:val="00FA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FB"/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0FB"/>
    <w:rPr>
      <w:sz w:val="22"/>
      <w:szCs w:val="22"/>
    </w:rPr>
  </w:style>
  <w:style w:type="paragraph" w:styleId="a4">
    <w:name w:val="List Paragraph"/>
    <w:basedOn w:val="a"/>
    <w:uiPriority w:val="34"/>
    <w:qFormat/>
    <w:rsid w:val="002F1132"/>
    <w:pPr>
      <w:ind w:left="720"/>
      <w:contextualSpacing/>
    </w:pPr>
  </w:style>
  <w:style w:type="paragraph" w:styleId="a5">
    <w:name w:val="Normal (Web)"/>
    <w:basedOn w:val="a"/>
    <w:unhideWhenUsed/>
    <w:rsid w:val="001C0172"/>
    <w:pPr>
      <w:spacing w:before="100" w:beforeAutospacing="1" w:after="119"/>
    </w:pPr>
    <w:rPr>
      <w:rFonts w:eastAsia="Times New Roman"/>
      <w:sz w:val="24"/>
    </w:rPr>
  </w:style>
  <w:style w:type="table" w:styleId="a6">
    <w:name w:val="Table Grid"/>
    <w:basedOn w:val="a1"/>
    <w:uiPriority w:val="59"/>
    <w:rsid w:val="001C0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66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658"/>
    <w:rPr>
      <w:rFonts w:ascii="Tahom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69A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69AD"/>
    <w:rPr>
      <w:rFonts w:ascii="Times New Roman" w:hAnsi="Times New Roman"/>
      <w:lang w:eastAsia="ru-RU"/>
    </w:rPr>
  </w:style>
  <w:style w:type="character" w:styleId="ab">
    <w:name w:val="footnote reference"/>
    <w:basedOn w:val="a0"/>
    <w:uiPriority w:val="99"/>
    <w:semiHidden/>
    <w:unhideWhenUsed/>
    <w:rsid w:val="00FA69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FB"/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0FB"/>
    <w:rPr>
      <w:sz w:val="22"/>
      <w:szCs w:val="22"/>
    </w:rPr>
  </w:style>
  <w:style w:type="paragraph" w:styleId="a4">
    <w:name w:val="List Paragraph"/>
    <w:basedOn w:val="a"/>
    <w:uiPriority w:val="34"/>
    <w:qFormat/>
    <w:rsid w:val="002F1132"/>
    <w:pPr>
      <w:ind w:left="720"/>
      <w:contextualSpacing/>
    </w:pPr>
  </w:style>
  <w:style w:type="paragraph" w:styleId="a5">
    <w:name w:val="Normal (Web)"/>
    <w:basedOn w:val="a"/>
    <w:unhideWhenUsed/>
    <w:rsid w:val="001C0172"/>
    <w:pPr>
      <w:spacing w:before="100" w:beforeAutospacing="1" w:after="119"/>
    </w:pPr>
    <w:rPr>
      <w:rFonts w:eastAsia="Times New Roman"/>
      <w:sz w:val="24"/>
    </w:rPr>
  </w:style>
  <w:style w:type="table" w:styleId="a6">
    <w:name w:val="Table Grid"/>
    <w:basedOn w:val="a1"/>
    <w:uiPriority w:val="59"/>
    <w:rsid w:val="001C01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D334-FC23-4610-8E8F-D9C04A0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Arimar</cp:lastModifiedBy>
  <cp:revision>21</cp:revision>
  <cp:lastPrinted>2016-01-19T10:52:00Z</cp:lastPrinted>
  <dcterms:created xsi:type="dcterms:W3CDTF">2015-11-30T18:19:00Z</dcterms:created>
  <dcterms:modified xsi:type="dcterms:W3CDTF">2016-03-09T18:48:00Z</dcterms:modified>
</cp:coreProperties>
</file>