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D4" w:rsidRDefault="002427D4" w:rsidP="00B05E6D">
      <w:pPr>
        <w:ind w:firstLine="851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УКАЗАНИЯ К КОНТРОЛЬНЫМ РАБОТАМ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Контрольная работа по политологии для студентов заочной формы</w:t>
      </w:r>
      <w:r>
        <w:rPr>
          <w:rFonts w:ascii="TimesNewRomanPSMT" w:hAnsi="TimesNewRomanPSMT"/>
          <w:color w:val="000000"/>
          <w:sz w:val="28"/>
          <w:szCs w:val="28"/>
        </w:rPr>
        <w:br/>
        <w:t>обучения выполняется по вариантам. Вариант темы контрольной работы</w:t>
      </w:r>
      <w:r>
        <w:rPr>
          <w:rFonts w:ascii="TimesNewRomanPSMT" w:hAnsi="TimesNewRomanPSMT"/>
          <w:color w:val="000000"/>
          <w:sz w:val="28"/>
          <w:szCs w:val="28"/>
        </w:rPr>
        <w:br/>
        <w:t>выбирается по таблице, в зависимости от первой буквы фамилии. Например, студент Петров может выбрать один из пяти вариантов, предложенных в таблице на букву «П» (1, 4, 6, 8, 10). Выбор других вариантов возможен только с согласия преподавателя. Контрольная работа, выбранная</w:t>
      </w:r>
      <w:r>
        <w:rPr>
          <w:rFonts w:ascii="TimesNewRomanPSMT" w:hAnsi="TimesNewRomanPSMT"/>
          <w:color w:val="000000"/>
          <w:sz w:val="28"/>
          <w:szCs w:val="28"/>
        </w:rPr>
        <w:br/>
        <w:t>с нарушением правил, не зачитывается.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Контрольная работа состоит из двух частей: теоретической и практической. Теоретическая часть должна быть выполнена в строгом соответствии с тем планом, который дан к теме выбранного варианта контрольной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работы. Запрещается вносить любые изменения в план контрольной работы. В противном случае работа не зачитывается.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 каждой теме контрольной работы представлен список необходимой научной литературы, составленный таким образом, чтобы у студента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была возможность выбора тех или иных литературных источников. Студент может самостоятельно подобрать дополнительную литературу по теме своей контрольной работы в общем списке литературы, также представленном в данном учебном пособии.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При изучении и изложении теоретических вопросов обязательно руководствоваться методическими рекомендациями, которые нацеливают на</w:t>
      </w:r>
      <w:r>
        <w:rPr>
          <w:rFonts w:ascii="TimesNewRomanPSMT" w:hAnsi="TimesNewRomanPSMT"/>
          <w:color w:val="000000"/>
          <w:sz w:val="28"/>
          <w:szCs w:val="28"/>
        </w:rPr>
        <w:br/>
        <w:t>правильный поиск решения тех или иных проблем. Раскрывать содержание</w:t>
      </w:r>
      <w:r>
        <w:rPr>
          <w:rFonts w:ascii="TimesNewRomanPSMT" w:hAnsi="TimesNewRomanPSMT"/>
          <w:color w:val="000000"/>
          <w:sz w:val="28"/>
          <w:szCs w:val="28"/>
        </w:rPr>
        <w:br/>
        <w:t>темы следует в соответствии с планом работы. Причем вначале необходимо указывать название вопроса, а затем излагать материал по данному вопросу. Изложенный материал должен свидетельствовать о знании студентом существа рассматриваемых проблем, изученных и использованных</w:t>
      </w:r>
      <w:r>
        <w:rPr>
          <w:rFonts w:ascii="TimesNewRomanPSMT" w:hAnsi="TimesNewRomanPSMT"/>
          <w:color w:val="000000"/>
          <w:sz w:val="28"/>
          <w:szCs w:val="28"/>
        </w:rPr>
        <w:br/>
        <w:t>в работе литературных источников. При наличии в литературе различных</w:t>
      </w:r>
      <w:r>
        <w:rPr>
          <w:rFonts w:ascii="TimesNewRomanPSMT" w:hAnsi="TimesNewRomanPSMT"/>
          <w:color w:val="000000"/>
          <w:sz w:val="28"/>
          <w:szCs w:val="28"/>
        </w:rPr>
        <w:br/>
        <w:t>подходов к анализу исследуемых проблем по возможности определите</w:t>
      </w:r>
      <w:r>
        <w:rPr>
          <w:rFonts w:ascii="TimesNewRomanPSMT" w:hAnsi="TimesNewRomanPSMT"/>
          <w:color w:val="000000"/>
          <w:sz w:val="28"/>
          <w:szCs w:val="28"/>
        </w:rPr>
        <w:br/>
        <w:t>к ним свое отношение.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Все приведенные в тексте цитаты, статистические данные, суждения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или точки зрения других авторов должны быть обязательно подтверждены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ссылками на литературный источник с указанием автора, названия работы,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года и места издания, страницы. Умение выделить главное, сосредоточить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внимание на важнейших вопросах в сочетании с их глубоким анализом –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условие успешной работы. Все теоретические вопросы должны быть проиллюстрированы примерами из реальной политической практики. Теоретическая часть контрольной работы считается выполненной, если все вопросы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подвопросы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будут освещены правильно, достаточно полно и глубоко. В случае, когда какой-либо вопрос или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подвопрос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плана не будет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раскрыт, контрольная работа будет возвращена на доработку или предложена к устной защите.</w:t>
      </w:r>
    </w:p>
    <w:p w:rsidR="002427D4" w:rsidRDefault="002427D4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Практическая часть контрольной работы включает: заполнение таблицы, ответы на два вопроса и одно тестовое задание. Нужно полностью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написать вопрос, затем – ответ на него. То же самое касается выполнения</w:t>
      </w:r>
      <w:r>
        <w:rPr>
          <w:rFonts w:ascii="TimesNewRomanPSMT" w:hAnsi="TimesNewRomanPSMT"/>
          <w:color w:val="000000"/>
          <w:sz w:val="28"/>
          <w:szCs w:val="28"/>
        </w:rPr>
        <w:br/>
        <w:t>тестового задания.</w:t>
      </w:r>
    </w:p>
    <w:p w:rsidR="002427D4" w:rsidRDefault="002427D4" w:rsidP="00B05E6D">
      <w:pPr>
        <w:ind w:firstLine="851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>
        <w:rPr>
          <w:rFonts w:ascii="TimesNewRomanPSMT" w:hAnsi="TimesNewRomanPSMT"/>
          <w:color w:val="000000"/>
          <w:sz w:val="28"/>
          <w:szCs w:val="28"/>
        </w:rPr>
        <w:t>В конце работы необходимо поместить список использованной литературы. Причем в этом списке в алфавитном порядке указываются только те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литературные источники, на которые имеются ссылки в тексте. Это обязательное требование. Обязательными элементами контрольной работы являются введение, в котором должна быть сформулирована актуальность выбранной темы, замысел и цель работы, а также заключение, в котором необходимо подвести итоги, четко сформулировать выводы по всей теме и показать значение рассмотренных проблем для практической деятельности.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Объем теоретической части работы не должен превышать 18–20 страниц текста компьютерной верстки, напечатанного стандартным шрифтом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2427D4" w:rsidRDefault="002427D4" w:rsidP="00B05E6D">
      <w:pPr>
        <w:ind w:firstLine="851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B05E6D" w:rsidRDefault="00A069E6" w:rsidP="00B05E6D">
      <w:pPr>
        <w:ind w:firstLine="851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Вариант 7</w:t>
      </w:r>
    </w:p>
    <w:p w:rsidR="00B05E6D" w:rsidRDefault="00A069E6" w:rsidP="00B05E6D">
      <w:pPr>
        <w:ind w:firstLine="851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ТЕМА «УСТРОЙСТВО СОВРЕМЕННОГО ГОСУДАРСТВА»</w:t>
      </w:r>
    </w:p>
    <w:p w:rsidR="00B05E6D" w:rsidRDefault="00A069E6" w:rsidP="00B05E6D">
      <w:pPr>
        <w:ind w:firstLine="85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План</w:t>
      </w:r>
    </w:p>
    <w:p w:rsidR="00B05E6D" w:rsidRDefault="00A069E6" w:rsidP="00B05E6D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 Понятие «форма правления». Парламентарная монархия и парламентарная республика.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2. Президентская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полупрезидентская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республики.</w:t>
      </w:r>
      <w:r>
        <w:rPr>
          <w:rFonts w:ascii="TimesNewRomanPSMT" w:hAnsi="TimesNewRomanPSMT"/>
          <w:color w:val="000000"/>
          <w:sz w:val="28"/>
          <w:szCs w:val="28"/>
        </w:rPr>
        <w:br/>
        <w:t>3. Понятие формы государственного устройства. Унитарное государственное устройство. Разновидности унитарных государств.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</w:rPr>
        <w:t>167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4. Федеративное устройство государства. Проблемы и перспективы</w:t>
      </w:r>
      <w:r>
        <w:rPr>
          <w:rFonts w:ascii="TimesNewRomanPSMT" w:hAnsi="TimesNewRomanPSMT"/>
          <w:color w:val="000000"/>
          <w:sz w:val="28"/>
          <w:szCs w:val="28"/>
        </w:rPr>
        <w:br/>
        <w:t>современного российского федерализма.</w:t>
      </w:r>
    </w:p>
    <w:p w:rsidR="00B05E6D" w:rsidRDefault="00A069E6" w:rsidP="00B05E6D">
      <w:pPr>
        <w:ind w:firstLine="85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Список литературы</w:t>
      </w:r>
    </w:p>
    <w:p w:rsidR="002427D4" w:rsidRDefault="00A069E6" w:rsidP="00B05E6D">
      <w:pPr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Авакьян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С. А. Федерализм в России: опыт практика / С. А.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Авакьян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  <w:t>// Право и политика, 2006. – № 9.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Арзамаскин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Н. Н. Этапы и современные тенденции становления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российского федерализма / Н. Н.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Арзамаскин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// Право и политика, 2007. –</w:t>
      </w:r>
      <w:r>
        <w:rPr>
          <w:rFonts w:ascii="TimesNewRomanPSMT" w:hAnsi="TimesNewRomanPSMT"/>
          <w:color w:val="000000"/>
          <w:sz w:val="28"/>
          <w:szCs w:val="28"/>
        </w:rPr>
        <w:br/>
        <w:t>№ 4.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Демидов, А. И. Политология в вопросах и ответах [Текст] :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учебнометодическое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пособие / А. И. Демидов, А. В. Малько. – М.: Юрист, 1998.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Зубов, А. Б. Унитаризм или федерализм к вопросу о будущей организации государственного пространства России [Текст] / А. Б. Зубов // Полис. – 2000. – № 5.</w:t>
      </w:r>
      <w:r>
        <w:rPr>
          <w:rFonts w:ascii="TimesNewRomanPSMT" w:hAnsi="TimesNewRomanPSMT"/>
          <w:color w:val="000000"/>
          <w:sz w:val="28"/>
          <w:szCs w:val="28"/>
        </w:rPr>
        <w:br/>
        <w:t>Ильченко, М. Циклы российского федерализма [Текст] / М. Ильченко // Свободная мысль. – 20007. – № 8.</w:t>
      </w:r>
      <w:r>
        <w:rPr>
          <w:rFonts w:ascii="TimesNewRomanPSMT" w:hAnsi="TimesNewRomanPSMT"/>
          <w:color w:val="000000"/>
          <w:sz w:val="28"/>
          <w:szCs w:val="28"/>
        </w:rPr>
        <w:br/>
        <w:t>Карапетян, Л. М. Федеративное устройство Российского государства</w:t>
      </w:r>
      <w:r>
        <w:rPr>
          <w:rFonts w:ascii="TimesNewRomanPSMT" w:hAnsi="TimesNewRomanPSMT"/>
          <w:color w:val="000000"/>
          <w:sz w:val="28"/>
          <w:szCs w:val="28"/>
        </w:rPr>
        <w:br/>
        <w:t>[Текст] / Л. М. Карапетян. – М. : Норма, 2001.</w:t>
      </w:r>
      <w:r>
        <w:rPr>
          <w:rFonts w:ascii="TimesNewRomanPSMT" w:hAnsi="TimesNewRomanPSMT"/>
          <w:color w:val="000000"/>
          <w:sz w:val="28"/>
          <w:szCs w:val="28"/>
        </w:rPr>
        <w:br/>
        <w:t>Марченко, М. Н. Теория государства и права [Текст] / М. Н. Марченко. – М., 1996. – Гл. 7.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Моммен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А. Заявка Путина на власть: Конец российского федерализма? [Текст] / А.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Моммен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// Полис. – 2000. – № 5.</w:t>
      </w:r>
      <w:r>
        <w:rPr>
          <w:rFonts w:ascii="TimesNewRomanPSMT" w:hAnsi="TimesNewRomanPSMT"/>
          <w:color w:val="000000"/>
          <w:sz w:val="28"/>
          <w:szCs w:val="28"/>
        </w:rPr>
        <w:br/>
        <w:t>Пугачев, В. П. Введение в политологию [Текст] : учеб. для вузов /</w:t>
      </w:r>
      <w:r>
        <w:rPr>
          <w:rFonts w:ascii="TimesNewRomanPSMT" w:hAnsi="TimesNewRomanPSMT"/>
          <w:color w:val="000000"/>
          <w:sz w:val="28"/>
          <w:szCs w:val="28"/>
        </w:rPr>
        <w:br/>
        <w:t>В. П. Пугачев, А. И. Соловьев. – М.: Аспект – Пресс, 1998. – Гл. 14.</w:t>
      </w:r>
      <w:r>
        <w:rPr>
          <w:rFonts w:ascii="TimesNewRomanPSMT" w:hAnsi="TimesNewRomanPSMT"/>
          <w:color w:val="000000"/>
          <w:sz w:val="28"/>
          <w:szCs w:val="28"/>
        </w:rPr>
        <w:br/>
        <w:t>Сахаров, Н. А. Институт президентства в современном мире [Текст] /</w:t>
      </w:r>
      <w:r>
        <w:rPr>
          <w:rFonts w:ascii="TimesNewRomanPSMT" w:hAnsi="TimesNewRomanPSMT"/>
          <w:color w:val="000000"/>
          <w:sz w:val="28"/>
          <w:szCs w:val="28"/>
        </w:rPr>
        <w:br/>
        <w:t>Н. А. Сахаров. – М. : Юридическая литература, 1994.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Теория государства и права [Текст] / под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Н. И. Мазурова,</w:t>
      </w:r>
      <w:r>
        <w:rPr>
          <w:rFonts w:ascii="TimesNewRomanPSMT" w:hAnsi="TimesNewRomanPSMT"/>
          <w:color w:val="000000"/>
          <w:sz w:val="28"/>
          <w:szCs w:val="28"/>
        </w:rPr>
        <w:br/>
        <w:t>А. А. Малько. – М.: Юрист, 2001.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Фарукшин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М. Х. Федерализм: теоретические и практические аспекты [Текст] / М. Х.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Фарукшин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– М. : Юрист, 2004.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Чиркин, В. Е. Элементы сравнительного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государствоведения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[Текст]</w:t>
      </w:r>
      <w:r>
        <w:rPr>
          <w:rFonts w:ascii="TimesNewRomanPSMT" w:hAnsi="TimesNewRomanPSMT"/>
          <w:color w:val="000000"/>
          <w:sz w:val="28"/>
          <w:szCs w:val="28"/>
        </w:rPr>
        <w:br/>
        <w:t>/ В. Е. Чиркин. – М., 1994.</w:t>
      </w:r>
      <w:r>
        <w:rPr>
          <w:rFonts w:ascii="TimesNewRomanPSMT" w:hAnsi="TimesNewRomanPSMT"/>
          <w:color w:val="000000"/>
          <w:sz w:val="28"/>
          <w:szCs w:val="28"/>
        </w:rPr>
        <w:br/>
        <w:t>Чиркин, В. Е. Современное федеративное государство [Текст] : учеб.</w:t>
      </w:r>
      <w:r>
        <w:rPr>
          <w:rFonts w:ascii="TimesNewRomanPSMT" w:hAnsi="TimesNewRomanPSMT"/>
          <w:color w:val="000000"/>
          <w:sz w:val="28"/>
          <w:szCs w:val="28"/>
        </w:rPr>
        <w:br/>
        <w:t>пособие / В. Е. Чиркин. – М., 1997.</w:t>
      </w:r>
    </w:p>
    <w:p w:rsidR="002427D4" w:rsidRDefault="00A069E6" w:rsidP="002427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Методические рекомендации</w:t>
      </w:r>
    </w:p>
    <w:p w:rsidR="00B05E6D" w:rsidRDefault="00A069E6" w:rsidP="00B05E6D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Прежде всего обратите внимание на терминологию. Необходимо выяснить, какое государство относится к современному типу государств, что</w:t>
      </w:r>
      <w:r w:rsidR="00B05E6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такое форма правления, в чем отличие формы правления от политического</w:t>
      </w:r>
      <w:r w:rsidR="00B05E6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режима. Рассматривая парламентарную монархию и парламентарную республику, следует выявить черты сходства и различия этих форм.</w:t>
      </w:r>
      <w:r w:rsidR="00B05E6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Все теоретические вопросы, связанные с формами государства, необходимо иллюстрировать конкретными примерами. Для этого используйте специальные справочники и энциклопедии. Например, определенную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помощь может оказать справочник под редакцией Ф. М.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Решетнева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«Правовые системы стран мира» – М. : Юридическая литература, 1993. Рассматривая федеративное государственное устройство, будет целесообразным сравнить его с унитарным устройством и определить отличительные</w:t>
      </w:r>
      <w:r>
        <w:rPr>
          <w:rFonts w:ascii="TimesNewRomanPSMT" w:hAnsi="TimesNewRomanPSMT"/>
          <w:color w:val="000000"/>
          <w:sz w:val="28"/>
          <w:szCs w:val="28"/>
        </w:rPr>
        <w:br/>
        <w:t>черты федеративной государственной системы. Приступая к изложению</w:t>
      </w:r>
      <w:r>
        <w:rPr>
          <w:rFonts w:ascii="TimesNewRomanPSMT" w:hAnsi="TimesNewRomanPSMT"/>
          <w:color w:val="000000"/>
          <w:sz w:val="28"/>
          <w:szCs w:val="28"/>
        </w:rPr>
        <w:br/>
        <w:t>вопроса, касающегося федеративного устройства в России, необходимо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рассмотреть только наиболее актуальные проблемы современного российского федерализма, определить возможные перспективы его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дальнейшего</w:t>
      </w:r>
      <w:r>
        <w:rPr>
          <w:rFonts w:ascii="TimesNewRomanPSMT" w:hAnsi="TimesNewRomanPSMT"/>
          <w:color w:val="000000"/>
          <w:sz w:val="28"/>
          <w:szCs w:val="28"/>
        </w:rPr>
        <w:br/>
        <w:t>развития. С этой целью надо ознакомиться с соответствующей литературой, которая рекомендована для изучения данной темы.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B05E6D" w:rsidRDefault="00A069E6" w:rsidP="00B05E6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Практическое задание</w:t>
      </w:r>
    </w:p>
    <w:p w:rsidR="00A069E6" w:rsidRDefault="00A069E6" w:rsidP="00B05E6D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Заполните таблицу «Полномочия президента в президентской, парламентской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полупрезидентской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республиках».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1258A34" wp14:editId="3F1BAC63">
            <wp:extent cx="5940425" cy="788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D" w:rsidRDefault="00B05E6D">
      <w:pPr>
        <w:rPr>
          <w:rFonts w:ascii="TimesNewRomanPSMT" w:hAnsi="TimesNewRomanPSMT"/>
          <w:color w:val="000000"/>
        </w:rPr>
      </w:pPr>
    </w:p>
    <w:p w:rsidR="00243DBB" w:rsidRDefault="00A069E6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При заполнении таблицы используйте приведенные ниже положения.</w:t>
      </w:r>
      <w:r>
        <w:rPr>
          <w:rFonts w:ascii="TimesNewRomanPSMT" w:hAnsi="TimesNewRomanPSMT"/>
          <w:color w:val="000000"/>
          <w:sz w:val="28"/>
          <w:szCs w:val="28"/>
        </w:rPr>
        <w:br/>
        <w:t>1. Президента избирает народ (прямые или косвенные выборы).</w:t>
      </w:r>
      <w:r>
        <w:rPr>
          <w:rFonts w:ascii="TimesNewRomanPSMT" w:hAnsi="TimesNewRomanPSMT"/>
          <w:color w:val="000000"/>
          <w:sz w:val="28"/>
          <w:szCs w:val="28"/>
        </w:rPr>
        <w:br/>
        <w:t>2. Президент – глава государства.</w:t>
      </w:r>
      <w:r>
        <w:rPr>
          <w:rFonts w:ascii="TimesNewRomanPSMT" w:hAnsi="TimesNewRomanPSMT"/>
          <w:color w:val="000000"/>
          <w:sz w:val="28"/>
          <w:szCs w:val="28"/>
        </w:rPr>
        <w:br/>
        <w:t>3. Президент – глава правительства.</w:t>
      </w:r>
      <w:r>
        <w:rPr>
          <w:rFonts w:ascii="TimesNewRomanPSMT" w:hAnsi="TimesNewRomanPSMT"/>
          <w:color w:val="000000"/>
          <w:sz w:val="28"/>
          <w:szCs w:val="28"/>
        </w:rPr>
        <w:br/>
        <w:t>4. Президент самостоятельно формирует правительство.</w:t>
      </w:r>
      <w:r>
        <w:rPr>
          <w:rFonts w:ascii="TimesNewRomanPSMT" w:hAnsi="TimesNewRomanPSMT"/>
          <w:color w:val="000000"/>
          <w:sz w:val="28"/>
          <w:szCs w:val="28"/>
        </w:rPr>
        <w:br/>
        <w:t>5. Правительство несет ответственность перед президентом.</w:t>
      </w:r>
    </w:p>
    <w:p w:rsidR="002427D4" w:rsidRDefault="002427D4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6. Президент имеет право самостоятельно отправлять правительство</w:t>
      </w:r>
      <w:r>
        <w:rPr>
          <w:rFonts w:ascii="TimesNewRomanPSMT" w:hAnsi="TimesNewRomanPSMT"/>
          <w:color w:val="000000"/>
          <w:sz w:val="28"/>
          <w:szCs w:val="28"/>
        </w:rPr>
        <w:br/>
        <w:t>в отставку.</w:t>
      </w:r>
      <w:r>
        <w:rPr>
          <w:rFonts w:ascii="TimesNewRomanPSMT" w:hAnsi="TimesNewRomanPSMT"/>
          <w:color w:val="000000"/>
          <w:sz w:val="28"/>
          <w:szCs w:val="28"/>
        </w:rPr>
        <w:br/>
        <w:t>7. Президент обладает правом вето на законопроекты.</w:t>
      </w:r>
      <w:r>
        <w:rPr>
          <w:rFonts w:ascii="TimesNewRomanPSMT" w:hAnsi="TimesNewRomanPSMT"/>
          <w:color w:val="000000"/>
          <w:sz w:val="28"/>
          <w:szCs w:val="28"/>
        </w:rPr>
        <w:br/>
        <w:t>8. Президент имеет право на роспуск парламента.</w:t>
      </w:r>
      <w:r>
        <w:rPr>
          <w:rFonts w:ascii="TimesNewRomanPSMT" w:hAnsi="TimesNewRomanPSMT"/>
          <w:color w:val="000000"/>
          <w:sz w:val="28"/>
          <w:szCs w:val="28"/>
        </w:rPr>
        <w:br/>
        <w:t>9. Президент – верховный главнокомандующий вооруженными силами.</w:t>
      </w:r>
    </w:p>
    <w:p w:rsidR="002427D4" w:rsidRDefault="002427D4">
      <w:pPr>
        <w:rPr>
          <w:rFonts w:ascii="TimesNewRomanPSMT" w:hAnsi="TimesNewRomanPSMT"/>
          <w:color w:val="000000"/>
          <w:sz w:val="28"/>
          <w:szCs w:val="28"/>
        </w:rPr>
      </w:pPr>
    </w:p>
    <w:p w:rsidR="002427D4" w:rsidRDefault="002427D4" w:rsidP="002427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Контрольные вопросы</w:t>
      </w:r>
    </w:p>
    <w:p w:rsidR="002427D4" w:rsidRDefault="002427D4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 Внимательно изучите текст Конституции РФ 1993 г., Гл. 4, 5, 6,</w:t>
      </w:r>
      <w:r>
        <w:rPr>
          <w:rFonts w:ascii="TimesNewRomanPSMT" w:hAnsi="TimesNewRomanPSMT"/>
          <w:color w:val="000000"/>
          <w:sz w:val="28"/>
          <w:szCs w:val="28"/>
        </w:rPr>
        <w:br/>
        <w:t>и, используя заполненную вами таблицу, определите, к какой форме республиканского правления относится Россия.</w:t>
      </w:r>
      <w:r>
        <w:rPr>
          <w:rFonts w:ascii="TimesNewRomanPSMT" w:hAnsi="TimesNewRomanPSMT"/>
          <w:color w:val="000000"/>
          <w:sz w:val="28"/>
          <w:szCs w:val="28"/>
        </w:rPr>
        <w:br/>
        <w:t>2. В чем отличие федерации от конфедерации?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427D4" w:rsidRDefault="002427D4" w:rsidP="002427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Тестовое задание</w:t>
      </w:r>
    </w:p>
    <w:p w:rsidR="002427D4" w:rsidRDefault="002427D4">
      <w:r>
        <w:rPr>
          <w:rFonts w:ascii="TimesNewRomanPSMT" w:hAnsi="TimesNewRomanPSMT"/>
          <w:color w:val="000000"/>
          <w:sz w:val="28"/>
          <w:szCs w:val="28"/>
        </w:rPr>
        <w:t>Наличие двухпалатного парламента указывает на:</w:t>
      </w:r>
      <w:r>
        <w:rPr>
          <w:rFonts w:ascii="TimesNewRomanPSMT" w:hAnsi="TimesNewRomanPSMT"/>
          <w:color w:val="000000"/>
          <w:sz w:val="28"/>
          <w:szCs w:val="28"/>
        </w:rPr>
        <w:br/>
        <w:t>а) монархию; в) федерацию;</w:t>
      </w:r>
      <w:r>
        <w:rPr>
          <w:rFonts w:ascii="TimesNewRomanPSMT" w:hAnsi="TimesNewRomanPSMT"/>
          <w:color w:val="000000"/>
          <w:sz w:val="28"/>
          <w:szCs w:val="28"/>
        </w:rPr>
        <w:br/>
        <w:t>б) аристократию; г) демократический режим.</w:t>
      </w:r>
    </w:p>
    <w:sectPr w:rsidR="0024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E6"/>
    <w:rsid w:val="002427D4"/>
    <w:rsid w:val="00243DBB"/>
    <w:rsid w:val="009A6EA3"/>
    <w:rsid w:val="00A069E6"/>
    <w:rsid w:val="00B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1BF9"/>
  <w15:chartTrackingRefBased/>
  <w15:docId w15:val="{14E0E7DF-0DE9-451D-90CF-8D86382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Печенька</dc:creator>
  <cp:keywords/>
  <dc:description/>
  <cp:lastModifiedBy>Печенька</cp:lastModifiedBy>
  <cp:revision>5</cp:revision>
  <dcterms:created xsi:type="dcterms:W3CDTF">2016-04-25T06:06:00Z</dcterms:created>
  <dcterms:modified xsi:type="dcterms:W3CDTF">2016-04-25T06:16:00Z</dcterms:modified>
</cp:coreProperties>
</file>