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5C" w:rsidRPr="00FA6D45" w:rsidRDefault="00FF0F07" w:rsidP="002C755C">
      <w:pPr>
        <w:rPr>
          <w:rFonts w:ascii="Times New Roman" w:eastAsia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=0.6 Гн</m:t>
          </m:r>
          <m:r>
            <w:rPr>
              <w:rFonts w:ascii="Cambria Math" w:eastAsia="Times New Roman" w:hAnsi="Cambria Math"/>
            </w:rPr>
            <m:t>;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=0.25 Гн;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0</m:t>
              </m:r>
            </m:sub>
          </m:sSub>
          <m:r>
            <w:rPr>
              <w:rFonts w:ascii="Cambria Math" w:eastAsia="Times New Roman" w:hAnsi="Cambria Math"/>
            </w:rPr>
            <m:t>=150 В;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</m:sSub>
          <m:r>
            <w:rPr>
              <w:rFonts w:ascii="Cambria Math" w:eastAsia="Times New Roman" w:hAnsi="Cambria Math"/>
            </w:rPr>
            <m:t>=30 Ом;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</w:rPr>
                <m:t>2</m:t>
              </m:r>
            </m:sub>
          </m:sSub>
          <m:r>
            <w:rPr>
              <w:rFonts w:ascii="Cambria Math" w:eastAsia="Times New Roman" w:hAnsi="Cambria Math"/>
            </w:rPr>
            <m:t>=4.5 Ом;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=25 Ом;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</w:rPr>
                <m:t>4</m:t>
              </m:r>
            </m:sub>
          </m:sSub>
          <m:r>
            <w:rPr>
              <w:rFonts w:ascii="Cambria Math" w:eastAsia="Times New Roman" w:hAnsi="Cambria Math"/>
            </w:rPr>
            <m:t>=25 Ом;</m:t>
          </m:r>
        </m:oMath>
      </m:oMathPara>
    </w:p>
    <w:p w:rsidR="002C755C" w:rsidRPr="00FA6D45" w:rsidRDefault="002C755C" w:rsidP="002C755C">
      <w:pPr>
        <w:rPr>
          <w:rFonts w:ascii="Times New Roman" w:eastAsia="Times New Roman" w:hAnsi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>ω=350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рад</m:t>
              </m:r>
            </m:num>
            <m:den>
              <m:r>
                <w:rPr>
                  <w:rFonts w:ascii="Cambria Math" w:eastAsia="Times New Roman" w:hAnsi="Cambria Math"/>
                </w:rPr>
                <m:t>с</m:t>
              </m:r>
            </m:den>
          </m:f>
          <m:r>
            <w:rPr>
              <w:rFonts w:ascii="Cambria Math" w:eastAsia="Times New Roman" w:hAnsi="Cambria Math"/>
            </w:rPr>
            <m:t>;φ=-60 град.</m:t>
          </m:r>
        </m:oMath>
      </m:oMathPara>
    </w:p>
    <w:p w:rsidR="002C755C" w:rsidRPr="00FA6D45" w:rsidRDefault="002C755C" w:rsidP="002C755C">
      <w:pPr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5680F15" wp14:editId="741761C2">
            <wp:extent cx="3086100" cy="2419350"/>
            <wp:effectExtent l="0" t="0" r="0" b="0"/>
            <wp:docPr id="1" name="Рисунок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5C" w:rsidRPr="002C755C" w:rsidRDefault="002C755C" w:rsidP="002C755C">
      <w:pPr>
        <w:tabs>
          <w:tab w:val="left" w:pos="1843"/>
        </w:tabs>
        <w:ind w:left="142"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2C755C">
        <w:rPr>
          <w:rFonts w:ascii="Times New Roman" w:eastAsia="Arial Unicode MS" w:hAnsi="Times New Roman"/>
          <w:sz w:val="28"/>
          <w:szCs w:val="28"/>
        </w:rPr>
        <w:t xml:space="preserve"> Классический метод расчета переходного процесса </w:t>
      </w:r>
      <w:proofErr w:type="gramStart"/>
      <w:r w:rsidRPr="002C755C">
        <w:rPr>
          <w:rFonts w:ascii="Times New Roman" w:eastAsia="Arial Unicode MS" w:hAnsi="Times New Roman"/>
          <w:sz w:val="28"/>
          <w:szCs w:val="28"/>
        </w:rPr>
        <w:t xml:space="preserve">при </w:t>
      </w:r>
      <w:r w:rsidRPr="002C755C">
        <w:rPr>
          <w:rFonts w:ascii="Times New Roman" w:eastAsia="Arial Unicode MS" w:hAnsi="Times New Roman"/>
          <w:position w:val="-12"/>
          <w:sz w:val="28"/>
          <w:szCs w:val="28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5" o:title=""/>
          </v:shape>
          <o:OLEObject Type="Embed" ProgID="Equation.3" ShapeID="_x0000_i1025" DrawAspect="Content" ObjectID="_1526250569" r:id="rId6"/>
        </w:object>
      </w:r>
      <w:r w:rsidRPr="002C755C">
        <w:rPr>
          <w:rFonts w:ascii="Times New Roman" w:eastAsia="Arial Unicode MS" w:hAnsi="Times New Roman"/>
          <w:sz w:val="28"/>
          <w:szCs w:val="28"/>
        </w:rPr>
        <w:t>;</w:t>
      </w:r>
      <w:proofErr w:type="gramEnd"/>
    </w:p>
    <w:p w:rsidR="002C755C" w:rsidRPr="002C755C" w:rsidRDefault="002C755C" w:rsidP="002C755C">
      <w:pPr>
        <w:ind w:left="142"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2C755C">
        <w:rPr>
          <w:rFonts w:ascii="Times New Roman" w:eastAsia="Arial Unicode MS" w:hAnsi="Times New Roman"/>
          <w:sz w:val="28"/>
          <w:szCs w:val="28"/>
        </w:rPr>
        <w:t xml:space="preserve"> Операторный метод расчета переходного процесса </w:t>
      </w:r>
      <w:proofErr w:type="gramStart"/>
      <w:r w:rsidRPr="002C755C">
        <w:rPr>
          <w:rFonts w:ascii="Times New Roman" w:eastAsia="Arial Unicode MS" w:hAnsi="Times New Roman"/>
          <w:sz w:val="28"/>
          <w:szCs w:val="28"/>
        </w:rPr>
        <w:t xml:space="preserve">при </w:t>
      </w:r>
      <w:r w:rsidRPr="002C755C">
        <w:rPr>
          <w:rFonts w:ascii="Times New Roman" w:eastAsia="Arial Unicode MS" w:hAnsi="Times New Roman"/>
          <w:position w:val="-12"/>
          <w:sz w:val="28"/>
          <w:szCs w:val="28"/>
        </w:rPr>
        <w:object w:dxaOrig="920" w:dyaOrig="360">
          <v:shape id="_x0000_i1026" type="#_x0000_t75" style="width:45.75pt;height:18pt" o:ole="">
            <v:imagedata r:id="rId7" o:title=""/>
          </v:shape>
          <o:OLEObject Type="Embed" ProgID="Equation.3" ShapeID="_x0000_i1026" DrawAspect="Content" ObjectID="_1526250570" r:id="rId8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 для</w:t>
      </w:r>
      <w:proofErr w:type="gramEnd"/>
      <w:r w:rsidRPr="002C755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C755C">
        <w:rPr>
          <w:rFonts w:ascii="Times New Roman" w:eastAsia="Arial Unicode MS" w:hAnsi="Times New Roman"/>
          <w:position w:val="-12"/>
          <w:sz w:val="28"/>
          <w:szCs w:val="28"/>
        </w:rPr>
        <w:object w:dxaOrig="499" w:dyaOrig="360">
          <v:shape id="_x0000_i1027" type="#_x0000_t75" style="width:24.75pt;height:18pt" o:ole="">
            <v:imagedata r:id="rId9" o:title=""/>
          </v:shape>
          <o:OLEObject Type="Embed" ProgID="Equation.3" ShapeID="_x0000_i1027" DrawAspect="Content" ObjectID="_1526250571" r:id="rId10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C755C">
        <w:rPr>
          <w:rFonts w:ascii="Times New Roman" w:eastAsia="Arial Unicode MS" w:hAnsi="Times New Roman"/>
          <w:position w:val="-10"/>
          <w:sz w:val="28"/>
          <w:szCs w:val="28"/>
        </w:rPr>
        <w:object w:dxaOrig="460" w:dyaOrig="300">
          <v:shape id="_x0000_i1028" type="#_x0000_t75" style="width:23.25pt;height:15pt" o:ole="">
            <v:imagedata r:id="rId11" o:title=""/>
          </v:shape>
          <o:OLEObject Type="Embed" ProgID="Equation.3" ShapeID="_x0000_i1028" DrawAspect="Content" ObjectID="_1526250572" r:id="rId12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 по указанию преподавателя.</w:t>
      </w:r>
    </w:p>
    <w:p w:rsidR="002C755C" w:rsidRPr="002C755C" w:rsidRDefault="002C755C" w:rsidP="002C755C">
      <w:pPr>
        <w:ind w:left="142"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2C755C">
        <w:rPr>
          <w:rFonts w:ascii="Times New Roman" w:eastAsia="Arial Unicode MS" w:hAnsi="Times New Roman"/>
          <w:sz w:val="28"/>
          <w:szCs w:val="28"/>
        </w:rPr>
        <w:t xml:space="preserve"> Классический метод расчета переходного процесса </w:t>
      </w:r>
      <w:proofErr w:type="gramStart"/>
      <w:r w:rsidRPr="002C755C">
        <w:rPr>
          <w:rFonts w:ascii="Times New Roman" w:eastAsia="Arial Unicode MS" w:hAnsi="Times New Roman"/>
          <w:sz w:val="28"/>
          <w:szCs w:val="28"/>
        </w:rPr>
        <w:t xml:space="preserve">при </w:t>
      </w:r>
      <w:r w:rsidRPr="002C755C">
        <w:rPr>
          <w:rFonts w:ascii="Times New Roman" w:eastAsia="Arial Unicode MS" w:hAnsi="Times New Roman"/>
          <w:position w:val="-10"/>
          <w:sz w:val="28"/>
          <w:szCs w:val="28"/>
        </w:rPr>
        <w:object w:dxaOrig="1660" w:dyaOrig="300">
          <v:shape id="_x0000_i1029" type="#_x0000_t75" style="width:83.25pt;height:15pt" o:ole="">
            <v:imagedata r:id="rId13" o:title=""/>
          </v:shape>
          <o:OLEObject Type="Embed" ProgID="Equation.3" ShapeID="_x0000_i1029" DrawAspect="Content" ObjectID="_1526250573" r:id="rId14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 для</w:t>
      </w:r>
      <w:proofErr w:type="gramEnd"/>
      <w:r w:rsidRPr="002C755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C755C">
        <w:rPr>
          <w:rFonts w:ascii="Times New Roman" w:eastAsia="Arial Unicode MS" w:hAnsi="Times New Roman"/>
          <w:position w:val="-12"/>
          <w:sz w:val="28"/>
          <w:szCs w:val="28"/>
        </w:rPr>
        <w:object w:dxaOrig="499" w:dyaOrig="360">
          <v:shape id="_x0000_i1030" type="#_x0000_t75" style="width:24.75pt;height:18pt" o:ole="">
            <v:imagedata r:id="rId9" o:title=""/>
          </v:shape>
          <o:OLEObject Type="Embed" ProgID="Equation.3" ShapeID="_x0000_i1030" DrawAspect="Content" ObjectID="_1526250574" r:id="rId15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2C755C">
        <w:rPr>
          <w:rFonts w:ascii="Times New Roman" w:eastAsia="Arial Unicode MS" w:hAnsi="Times New Roman"/>
          <w:position w:val="-10"/>
          <w:sz w:val="28"/>
          <w:szCs w:val="28"/>
        </w:rPr>
        <w:object w:dxaOrig="460" w:dyaOrig="300">
          <v:shape id="_x0000_i1031" type="#_x0000_t75" style="width:23.25pt;height:15pt" o:ole="">
            <v:imagedata r:id="rId16" o:title=""/>
          </v:shape>
          <o:OLEObject Type="Embed" ProgID="Equation.3" ShapeID="_x0000_i1031" DrawAspect="Content" ObjectID="_1526250575" r:id="rId17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 по выбору.</w:t>
      </w:r>
    </w:p>
    <w:p w:rsidR="002C755C" w:rsidRPr="002C755C" w:rsidRDefault="002C755C" w:rsidP="002C755C">
      <w:pPr>
        <w:ind w:left="142"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2C755C">
        <w:rPr>
          <w:rFonts w:ascii="Times New Roman" w:eastAsia="Arial Unicode MS" w:hAnsi="Times New Roman"/>
          <w:sz w:val="28"/>
          <w:szCs w:val="28"/>
        </w:rPr>
        <w:t xml:space="preserve"> Записать аналитическое </w:t>
      </w:r>
      <w:proofErr w:type="gramStart"/>
      <w:r w:rsidRPr="002C755C">
        <w:rPr>
          <w:rFonts w:ascii="Times New Roman" w:eastAsia="Arial Unicode MS" w:hAnsi="Times New Roman"/>
          <w:sz w:val="28"/>
          <w:szCs w:val="28"/>
        </w:rPr>
        <w:t xml:space="preserve">выражение  </w:t>
      </w:r>
      <w:r w:rsidRPr="002C755C">
        <w:rPr>
          <w:rFonts w:ascii="Times New Roman" w:eastAsia="Arial Unicode MS" w:hAnsi="Times New Roman"/>
          <w:position w:val="-12"/>
          <w:sz w:val="28"/>
          <w:szCs w:val="28"/>
        </w:rPr>
        <w:object w:dxaOrig="499" w:dyaOrig="360">
          <v:shape id="_x0000_i1032" type="#_x0000_t75" style="width:24.75pt;height:18pt" o:ole="">
            <v:imagedata r:id="rId9" o:title=""/>
          </v:shape>
          <o:OLEObject Type="Embed" ProgID="Equation.3" ShapeID="_x0000_i1032" DrawAspect="Content" ObjectID="_1526250576" r:id="rId18"/>
        </w:object>
      </w:r>
      <w:r w:rsidRPr="002C755C">
        <w:rPr>
          <w:rFonts w:ascii="Times New Roman" w:eastAsia="Arial Unicode MS" w:hAnsi="Times New Roman"/>
          <w:sz w:val="28"/>
          <w:szCs w:val="28"/>
        </w:rPr>
        <w:t>,</w:t>
      </w:r>
      <w:proofErr w:type="gramEnd"/>
      <w:r w:rsidRPr="002C755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C755C">
        <w:rPr>
          <w:rFonts w:ascii="Times New Roman" w:eastAsia="Arial Unicode MS" w:hAnsi="Times New Roman"/>
          <w:position w:val="-12"/>
          <w:sz w:val="28"/>
          <w:szCs w:val="28"/>
        </w:rPr>
        <w:object w:dxaOrig="600" w:dyaOrig="360">
          <v:shape id="_x0000_i1033" type="#_x0000_t75" style="width:30pt;height:18pt" o:ole="">
            <v:imagedata r:id="rId19" o:title=""/>
          </v:shape>
          <o:OLEObject Type="Embed" ProgID="Equation.3" ShapeID="_x0000_i1033" DrawAspect="Content" ObjectID="_1526250577" r:id="rId20"/>
        </w:object>
      </w:r>
      <w:r w:rsidRPr="002C755C">
        <w:rPr>
          <w:rFonts w:ascii="Times New Roman" w:eastAsia="Arial Unicode MS" w:hAnsi="Times New Roman"/>
          <w:sz w:val="28"/>
          <w:szCs w:val="28"/>
        </w:rPr>
        <w:t xml:space="preserve"> при несинусоидальном воздействии и привести графики.</w:t>
      </w:r>
    </w:p>
    <w:p w:rsidR="00DB6D59" w:rsidRDefault="00FF0F07">
      <w:bookmarkStart w:id="0" w:name="_GoBack"/>
      <w:bookmarkEnd w:id="0"/>
    </w:p>
    <w:sectPr w:rsidR="00DB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92"/>
    <w:rsid w:val="002C755C"/>
    <w:rsid w:val="005E1B92"/>
    <w:rsid w:val="00892C9B"/>
    <w:rsid w:val="00CC25A5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F15B-26D1-4727-8876-F65F395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Болденков</dc:creator>
  <cp:keywords/>
  <dc:description/>
  <cp:lastModifiedBy>Алексей Болденков</cp:lastModifiedBy>
  <cp:revision>3</cp:revision>
  <dcterms:created xsi:type="dcterms:W3CDTF">2016-05-31T18:59:00Z</dcterms:created>
  <dcterms:modified xsi:type="dcterms:W3CDTF">2016-05-31T19:43:00Z</dcterms:modified>
</cp:coreProperties>
</file>